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仿宋_GB2312"/>
          <w:b/>
          <w:bCs/>
          <w:sz w:val="44"/>
          <w:szCs w:val="44"/>
        </w:rPr>
      </w:pPr>
      <w:r>
        <w:rPr>
          <w:rFonts w:ascii="华文中宋" w:hAnsi="华文中宋" w:eastAsia="华文中宋" w:cs="仿宋_GB2312"/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ascii="华文中宋" w:hAnsi="华文中宋" w:eastAsia="华文中宋" w:cs="仿宋_GB2312"/>
          <w:b/>
          <w:bCs/>
          <w:sz w:val="44"/>
          <w:szCs w:val="44"/>
        </w:rPr>
        <w:instrText xml:space="preserve">ADDIN CNKISM.UserStyle</w:instrText>
      </w:r>
      <w:r>
        <w:rPr>
          <w:rFonts w:ascii="华文中宋" w:hAnsi="华文中宋" w:eastAsia="华文中宋" w:cs="仿宋_GB2312"/>
          <w:b/>
          <w:bCs/>
          <w:sz w:val="44"/>
          <w:szCs w:val="44"/>
        </w:rPr>
        <w:fldChar w:fldCharType="end"/>
      </w: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>关于开展2019年度浙江工商大学</w:t>
      </w:r>
    </w:p>
    <w:p>
      <w:pPr>
        <w:spacing w:line="600" w:lineRule="exact"/>
        <w:jc w:val="center"/>
        <w:rPr>
          <w:rFonts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>志愿服务先进集体评选的通知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各学院青年志愿者服务队：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2019年，我校各志愿者服务队在校团委的领导下</w:t>
      </w:r>
      <w:r>
        <w:rPr>
          <w:rFonts w:hint="eastAsia" w:ascii="仿宋_GB2312" w:hAnsi="楷体" w:eastAsia="仿宋_GB2312"/>
          <w:sz w:val="28"/>
          <w:szCs w:val="32"/>
        </w:rPr>
        <w:t>扎实推进志愿服务工作“规范化、项目化、精品化”。</w:t>
      </w:r>
      <w:r>
        <w:rPr>
          <w:rFonts w:hint="eastAsia" w:ascii="仿宋_GB2312" w:hAnsi="楷体" w:eastAsia="仿宋_GB2312"/>
          <w:sz w:val="28"/>
          <w:szCs w:val="32"/>
          <w:lang w:eastAsia="zh-CN"/>
        </w:rPr>
        <w:t>截止2019年11月</w:t>
      </w:r>
      <w:r>
        <w:rPr>
          <w:rFonts w:hint="eastAsia" w:ascii="仿宋_GB2312" w:hAnsi="楷体" w:eastAsia="仿宋_GB2312"/>
          <w:sz w:val="28"/>
          <w:szCs w:val="32"/>
        </w:rPr>
        <w:t>全校注册志愿者</w:t>
      </w:r>
      <w:r>
        <w:rPr>
          <w:rFonts w:hint="eastAsia" w:ascii="仿宋_GB2312" w:hAnsi="楷体" w:eastAsia="仿宋_GB2312"/>
          <w:sz w:val="28"/>
          <w:szCs w:val="32"/>
          <w:lang w:eastAsia="zh-CN"/>
        </w:rPr>
        <w:t>达23061</w:t>
      </w:r>
      <w:r>
        <w:rPr>
          <w:rFonts w:hint="eastAsia" w:ascii="仿宋_GB2312" w:hAnsi="楷体" w:eastAsia="仿宋_GB2312"/>
          <w:sz w:val="28"/>
          <w:szCs w:val="32"/>
        </w:rPr>
        <w:t>人</w:t>
      </w:r>
      <w:r>
        <w:rPr>
          <w:rFonts w:hint="eastAsia" w:ascii="仿宋_GB2312" w:hAnsi="楷体" w:eastAsia="仿宋_GB2312"/>
          <w:sz w:val="28"/>
          <w:szCs w:val="32"/>
          <w:lang w:eastAsia="zh-CN"/>
        </w:rPr>
        <w:t>次</w:t>
      </w:r>
      <w:r>
        <w:rPr>
          <w:rFonts w:hint="eastAsia" w:ascii="仿宋_GB2312" w:hAnsi="楷体" w:eastAsia="仿宋_GB2312"/>
          <w:sz w:val="28"/>
          <w:szCs w:val="32"/>
        </w:rPr>
        <w:t>，开展志愿服务活动</w:t>
      </w:r>
      <w:r>
        <w:rPr>
          <w:rFonts w:hint="eastAsia" w:ascii="仿宋_GB2312" w:hAnsi="楷体" w:eastAsia="仿宋_GB2312"/>
          <w:sz w:val="28"/>
          <w:szCs w:val="32"/>
          <w:lang w:eastAsia="zh-CN"/>
        </w:rPr>
        <w:t>1092</w:t>
      </w:r>
      <w:r>
        <w:rPr>
          <w:rFonts w:hint="eastAsia" w:ascii="仿宋_GB2312" w:hAnsi="楷体" w:eastAsia="仿宋_GB2312"/>
          <w:sz w:val="28"/>
          <w:szCs w:val="32"/>
        </w:rPr>
        <w:t>次，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从慰问老人到暑期支教，从科普宣传到景点义导，商大志愿者的身影出现在杭城各处，以实际行动践行志愿精神。除此之外，学校还为大型国际活动输送了百余位优秀志愿者：2019世界环境日全球主场活动，世界互联网大会等等。在商大校园里，志愿服务氛围日益浓厚，志愿服务精神代代传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校团委、校志愿者协会根据</w:t>
      </w:r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浙江工商大学志愿服务先进集体评选条例</w:t>
      </w:r>
      <w:r>
        <w:rPr>
          <w:rFonts w:hint="eastAsia" w:ascii="仿宋_GB2312" w:hAnsi="仿宋_GB2312" w:eastAsia="仿宋_GB2312" w:cs="仿宋_GB2312"/>
          <w:sz w:val="28"/>
          <w:szCs w:val="28"/>
        </w:rPr>
        <w:t>》（见附件3），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决定开展2019年度浙江工商大学志愿服务先进集体评选活动。现有关通知事项如下：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一、评选数据起止时间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评选数据起止时间为2018年11月</w:t>
      </w:r>
      <w:r>
        <w:rPr>
          <w:rFonts w:ascii="仿宋_GB2312" w:hAnsi="仿宋_GB2312" w:eastAsia="仿宋_GB2312" w:cs="仿宋_GB2312"/>
          <w:b w:val="0"/>
          <w:color w:val="auto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日至2019年11月</w:t>
      </w:r>
      <w:r>
        <w:rPr>
          <w:rFonts w:ascii="仿宋_GB2312" w:hAnsi="仿宋_GB2312" w:eastAsia="仿宋_GB2312" w:cs="仿宋_GB2312"/>
          <w:b w:val="0"/>
          <w:color w:val="auto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日（以活动备案时间为准）。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二、评选时间安排及材料要求：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（一）上报申报材料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11月15日</w:t>
      </w:r>
      <w:r>
        <w:rPr>
          <w:rFonts w:ascii="Times New Roman" w:hAnsi="Times New Roman" w:eastAsia="仿宋_GB2312" w:cs="Times New Roman"/>
          <w:b w:val="0"/>
          <w:bCs/>
          <w:color w:val="auto"/>
          <w:sz w:val="28"/>
          <w:szCs w:val="28"/>
        </w:rPr>
        <w:t>18:00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前，上交评选申报表（见附件1）及相关证明材料。纸质申报表及相关证明材料于</w:t>
      </w: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周一至周四</w:t>
      </w:r>
      <w:r>
        <w:rPr>
          <w:rFonts w:ascii="仿宋_GB2312" w:hAnsi="仿宋_GB2312" w:eastAsia="仿宋_GB2312" w:cs="仿宋_GB2312"/>
          <w:b w:val="0"/>
          <w:color w:val="auto"/>
          <w:sz w:val="28"/>
          <w:szCs w:val="28"/>
        </w:rPr>
        <w:t>17</w:t>
      </w: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：00-18:00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上交至学生活动中心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28"/>
          <w:szCs w:val="28"/>
        </w:rPr>
        <w:t>210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室，电子申报表发送至邮箱</w:t>
      </w: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zjgsuqzzzb@126.com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（邮件名为“XX学院先进集体评选申报表”）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（二）上报评选宣传资料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11月22日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21</w:t>
      </w:r>
      <w:r>
        <w:rPr>
          <w:rFonts w:hint="eastAsia" w:ascii="Times New Roman" w:hAnsi="仿宋_GB2312" w:eastAsia="仿宋_GB2312" w:cs="Times New Roman"/>
          <w:b w:val="0"/>
          <w:bCs/>
          <w:sz w:val="28"/>
          <w:szCs w:val="28"/>
        </w:rPr>
        <w:t>: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30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前，将相关宣传资料打包发送至指定邮箱（邮件名为“XX学院先进集体评选宣传资料”），包括：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1.志愿服务活动明细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2.介绍学院志愿服务情况的微信推送稿（务必注上标题）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3.照片（学院青志成员大合照3张；学院志愿服务活动照片，每张照片以志愿活动名称命名，每个活动5张）。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（三）上报现场评选PPT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仿宋_GB2312" w:hAnsi="仿宋_GB2312" w:eastAsia="仿宋_GB2312" w:cs="仿宋_GB2312"/>
          <w:b w:val="0"/>
          <w:color w:val="auto"/>
          <w:sz w:val="28"/>
          <w:szCs w:val="28"/>
        </w:rPr>
      </w:pPr>
      <w:r>
        <w:rPr>
          <w:rFonts w:hint="eastAsia" w:ascii="仿宋_GB2312" w:eastAsia="仿宋_GB2312"/>
          <w:b w:val="0"/>
          <w:color w:val="auto"/>
          <w:sz w:val="28"/>
          <w:szCs w:val="28"/>
        </w:rPr>
        <w:t>11月25日</w:t>
      </w:r>
      <w:r>
        <w:rPr>
          <w:rFonts w:ascii="Times New Roman" w:hAnsi="Times New Roman" w:eastAsia="仿宋_GB2312" w:cs="Times New Roman"/>
          <w:b w:val="0"/>
          <w:color w:val="auto"/>
          <w:sz w:val="28"/>
          <w:szCs w:val="28"/>
        </w:rPr>
        <w:t>21:30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前，将评选现场所用的PPT（邮件名为“XX学院现场评选PPT”）及所需字体</w:t>
      </w:r>
      <w:r>
        <w:rPr>
          <w:rFonts w:hint="eastAsia" w:ascii="仿宋_GB2312" w:eastAsia="仿宋_GB2312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包发送至邮箱</w:t>
      </w: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zjgsuqzzzb@126.com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。现场演示时长为五分钟。</w:t>
      </w:r>
      <w:bookmarkStart w:id="1" w:name="_GoBack"/>
      <w:bookmarkEnd w:id="1"/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（四）确认日常工作得分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_GB2312" w:cs="Times New Roman"/>
          <w:b w:val="0"/>
          <w:color w:val="auto"/>
          <w:sz w:val="28"/>
          <w:szCs w:val="28"/>
        </w:rPr>
      </w:pPr>
      <w:r>
        <w:rPr>
          <w:rFonts w:hint="eastAsia" w:ascii="仿宋_GB2312" w:eastAsia="仿宋_GB2312"/>
          <w:b w:val="0"/>
          <w:color w:val="auto"/>
          <w:sz w:val="28"/>
          <w:szCs w:val="28"/>
        </w:rPr>
        <w:t>11月15日，通知各学院确认日常工作得分。</w:t>
      </w:r>
      <w:r>
        <w:rPr>
          <w:rFonts w:ascii="仿宋_GB2312" w:eastAsia="仿宋_GB2312"/>
          <w:b w:val="0"/>
          <w:color w:val="auto"/>
          <w:sz w:val="28"/>
          <w:szCs w:val="28"/>
        </w:rPr>
        <w:t>(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培训学院、平均志愿时数不纳入本次评选</w:t>
      </w:r>
      <w:r>
        <w:rPr>
          <w:rFonts w:ascii="仿宋_GB2312" w:eastAsia="仿宋_GB2312"/>
          <w:b w:val="0"/>
          <w:color w:val="auto"/>
          <w:sz w:val="28"/>
          <w:szCs w:val="28"/>
        </w:rPr>
        <w:t>)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（五）开展现场评选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b w:val="0"/>
          <w:color w:val="auto"/>
          <w:sz w:val="28"/>
          <w:szCs w:val="28"/>
        </w:rPr>
      </w:pPr>
      <w:r>
        <w:rPr>
          <w:rFonts w:hint="eastAsia" w:ascii="仿宋_GB2312" w:eastAsia="仿宋_GB2312"/>
          <w:b w:val="0"/>
          <w:color w:val="auto"/>
          <w:sz w:val="28"/>
          <w:szCs w:val="28"/>
        </w:rPr>
        <w:t>1</w:t>
      </w:r>
      <w:r>
        <w:rPr>
          <w:rFonts w:ascii="仿宋_GB2312" w:eastAsia="仿宋_GB2312"/>
          <w:b w:val="0"/>
          <w:color w:val="auto"/>
          <w:sz w:val="28"/>
          <w:szCs w:val="28"/>
        </w:rPr>
        <w:t>1</w:t>
      </w:r>
      <w:r>
        <w:rPr>
          <w:rFonts w:hint="eastAsia" w:ascii="仿宋_GB2312" w:eastAsia="仿宋_GB2312"/>
          <w:b w:val="0"/>
          <w:color w:val="auto"/>
          <w:sz w:val="28"/>
          <w:szCs w:val="28"/>
        </w:rPr>
        <w:t>月30日（周六）13:40-15:40。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（六）公示评选结果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评选结束后一周内在校团委网站、青春浙商大、浙江工商大学志愿者微信平台公示评选结果。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仿宋_GB2312" w:hAnsi="仿宋_GB2312" w:eastAsia="仿宋_GB2312" w:cs="仿宋_GB2312"/>
          <w:b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联系人：李灿</w:t>
      </w:r>
      <w:r>
        <w:rPr>
          <w:rFonts w:ascii="仿宋_GB2312" w:hAnsi="仿宋_GB2312" w:eastAsia="仿宋_GB2312" w:cs="仿宋_GB2312"/>
          <w:b w:val="0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联系方式</w:t>
      </w:r>
      <w:r>
        <w:rPr>
          <w:rFonts w:ascii="仿宋_GB2312" w:hAnsi="仿宋_GB2312" w:eastAsia="仿宋_GB2312" w:cs="仿宋_GB2312"/>
          <w:b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>13962805730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ascii="仿宋_GB2312" w:hAnsi="仿宋_GB2312" w:eastAsia="仿宋_GB2312" w:cs="仿宋_GB2312"/>
          <w:b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附件：1.2019年度浙江工商大学志愿服务先进集体评选申报表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2.申报材料规范模板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textAlignment w:val="auto"/>
        <w:rPr>
          <w:rFonts w:ascii="仿宋_GB2312" w:hAnsi="仿宋_GB2312" w:eastAsia="仿宋_GB2312" w:cs="仿宋_GB2312"/>
          <w:bCs/>
          <w:color w:val="auto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pacing w:val="-4"/>
          <w:sz w:val="28"/>
          <w:szCs w:val="28"/>
        </w:rPr>
        <w:t>浙江工商大学志愿服务先进集体评选条例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00" w:firstLineChars="500"/>
        <w:textAlignment w:val="auto"/>
        <w:rPr>
          <w:rFonts w:ascii="仿宋_GB2312" w:hAnsi="仿宋_GB2312" w:eastAsia="仿宋_GB2312" w:cs="仿宋_GB2312"/>
          <w:bCs/>
          <w:color w:val="auto"/>
          <w:spacing w:val="-2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right"/>
        <w:textAlignment w:val="auto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 共青团浙江工商大学委员会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right"/>
        <w:textAlignment w:val="auto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浙江工商大学志愿者协会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80" w:firstLine="560"/>
        <w:jc w:val="right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2019年10月31日</w:t>
      </w:r>
      <w:r>
        <w:rPr>
          <w:rFonts w:ascii="仿宋_GB2312" w:hAnsi="仿宋_GB2312" w:eastAsia="仿宋_GB2312" w:cs="仿宋_GB2312"/>
          <w:b/>
          <w:sz w:val="28"/>
          <w:szCs w:val="28"/>
        </w:rPr>
        <w:br w:type="page"/>
      </w:r>
    </w:p>
    <w:p>
      <w:pPr>
        <w:spacing w:line="360" w:lineRule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bCs/>
          <w:sz w:val="44"/>
          <w:szCs w:val="44"/>
          <w:lang w:eastAsia="zh-CN"/>
        </w:rPr>
        <w:t>2019</w:t>
      </w: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>年度浙江工商大学志愿服务</w:t>
      </w:r>
    </w:p>
    <w:tbl>
      <w:tblPr>
        <w:tblStyle w:val="6"/>
        <w:tblpPr w:leftFromText="180" w:rightFromText="180" w:vertAnchor="text" w:horzAnchor="margin" w:tblpY="1073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618"/>
        <w:gridCol w:w="2776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申报集体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学院青年志愿者服务队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负责人姓名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手机号码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学生总人数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参加志愿活动总人数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注册志愿者人数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开展活动次数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总服务时数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已建一年以上基地数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申报材料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申报材料内容应包括学院志愿服务整体开展、特色志愿服务项目建设、工作创新及不足等内容，不超过3000字，四号仿宋_GB2312字体，1.5倍行距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同时提供：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1.志愿服务合作证明；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2.特色志愿服务活动清单；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3.媒体报道汇总表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（材料模板参见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附件2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，以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excel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格式上交）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学院团委意见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签名：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年    月    日</w:t>
            </w:r>
          </w:p>
        </w:tc>
      </w:tr>
    </w:tbl>
    <w:p>
      <w:pPr>
        <w:spacing w:after="240"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先进集体评选申报表</w:t>
      </w:r>
      <w:bookmarkStart w:id="0" w:name="_XX学院志愿服务合作证明"/>
      <w:bookmarkEnd w:id="0"/>
    </w:p>
    <w:p>
      <w:pPr>
        <w:spacing w:line="600" w:lineRule="exact"/>
        <w:rPr>
          <w:rFonts w:ascii="仿宋_GB2312" w:hAnsi="华文中宋" w:eastAsia="仿宋_GB2312"/>
          <w:b/>
          <w:sz w:val="24"/>
          <w:szCs w:val="24"/>
        </w:rPr>
      </w:pPr>
      <w:r>
        <w:rPr>
          <w:rFonts w:hint="eastAsia" w:ascii="仿宋_GB2312" w:hAnsi="华文中宋" w:eastAsia="仿宋_GB2312"/>
          <w:b/>
          <w:sz w:val="24"/>
          <w:szCs w:val="24"/>
        </w:rPr>
        <w:t>注：所有填写数据内容均为201</w:t>
      </w:r>
      <w:r>
        <w:rPr>
          <w:rFonts w:ascii="仿宋_GB2312" w:hAnsi="华文中宋" w:eastAsia="仿宋_GB2312"/>
          <w:b/>
          <w:sz w:val="24"/>
          <w:szCs w:val="24"/>
        </w:rPr>
        <w:t>8</w:t>
      </w:r>
      <w:r>
        <w:rPr>
          <w:rFonts w:hint="eastAsia" w:ascii="仿宋_GB2312" w:hAnsi="华文中宋" w:eastAsia="仿宋_GB2312"/>
          <w:b/>
          <w:sz w:val="24"/>
          <w:szCs w:val="24"/>
        </w:rPr>
        <w:t>年1</w:t>
      </w:r>
      <w:r>
        <w:rPr>
          <w:rFonts w:ascii="仿宋_GB2312" w:hAnsi="华文中宋" w:eastAsia="仿宋_GB2312"/>
          <w:b/>
          <w:sz w:val="24"/>
          <w:szCs w:val="24"/>
        </w:rPr>
        <w:t>1</w:t>
      </w:r>
      <w:r>
        <w:rPr>
          <w:rFonts w:hint="eastAsia" w:ascii="仿宋_GB2312" w:hAnsi="华文中宋" w:eastAsia="仿宋_GB2312"/>
          <w:b/>
          <w:sz w:val="24"/>
          <w:szCs w:val="24"/>
        </w:rPr>
        <w:t>月</w:t>
      </w:r>
      <w:r>
        <w:rPr>
          <w:rFonts w:ascii="仿宋_GB2312" w:hAnsi="华文中宋" w:eastAsia="仿宋_GB2312"/>
          <w:b/>
          <w:sz w:val="24"/>
          <w:szCs w:val="24"/>
        </w:rPr>
        <w:t>5</w:t>
      </w:r>
      <w:r>
        <w:rPr>
          <w:rFonts w:hint="eastAsia" w:ascii="仿宋_GB2312" w:hAnsi="华文中宋" w:eastAsia="仿宋_GB2312"/>
          <w:b/>
          <w:sz w:val="24"/>
          <w:szCs w:val="24"/>
        </w:rPr>
        <w:t>日至201</w:t>
      </w:r>
      <w:r>
        <w:rPr>
          <w:rFonts w:ascii="仿宋_GB2312" w:hAnsi="华文中宋" w:eastAsia="仿宋_GB2312"/>
          <w:b/>
          <w:sz w:val="24"/>
          <w:szCs w:val="24"/>
        </w:rPr>
        <w:t>9</w:t>
      </w:r>
      <w:r>
        <w:rPr>
          <w:rFonts w:hint="eastAsia" w:ascii="仿宋_GB2312" w:hAnsi="华文中宋" w:eastAsia="仿宋_GB2312"/>
          <w:b/>
          <w:sz w:val="24"/>
          <w:szCs w:val="24"/>
        </w:rPr>
        <w:t>年11月</w:t>
      </w:r>
      <w:r>
        <w:rPr>
          <w:rFonts w:ascii="仿宋_GB2312" w:hAnsi="华文中宋" w:eastAsia="仿宋_GB2312"/>
          <w:b/>
          <w:sz w:val="24"/>
          <w:szCs w:val="24"/>
        </w:rPr>
        <w:t>5</w:t>
      </w:r>
      <w:r>
        <w:rPr>
          <w:rFonts w:hint="eastAsia" w:ascii="仿宋_GB2312" w:hAnsi="华文中宋" w:eastAsia="仿宋_GB2312"/>
          <w:b/>
          <w:sz w:val="24"/>
          <w:szCs w:val="24"/>
        </w:rPr>
        <w:t>日期间。</w:t>
      </w:r>
    </w:p>
    <w:p>
      <w:pPr>
        <w:widowControl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br w:type="page"/>
      </w: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附件2：</w:t>
      </w:r>
    </w:p>
    <w:p>
      <w:pPr>
        <w:jc w:val="center"/>
        <w:rPr>
          <w:rFonts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>XX学院志愿服务合作证明</w:t>
      </w: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华文中宋" w:eastAsia="仿宋_GB2312" w:cs="仿宋_GB2312"/>
          <w:bCs/>
          <w:sz w:val="28"/>
          <w:szCs w:val="28"/>
        </w:rPr>
        <w:t>总数：</w:t>
      </w:r>
      <w:r>
        <w:rPr>
          <w:rFonts w:hint="eastAsia" w:ascii="仿宋_GB2312" w:hAnsi="华文中宋" w:eastAsia="仿宋_GB2312" w:cs="仿宋_GB2312"/>
          <w:bCs/>
          <w:sz w:val="28"/>
          <w:szCs w:val="28"/>
          <w:u w:val="single"/>
        </w:rPr>
        <w:t xml:space="preserve">         </w:t>
      </w:r>
      <w:r>
        <w:rPr>
          <w:rFonts w:hint="eastAsia" w:ascii="仿宋_GB2312" w:hAnsi="华文中宋" w:eastAsia="仿宋_GB2312" w:cs="仿宋_GB2312"/>
          <w:bCs/>
          <w:sz w:val="28"/>
          <w:szCs w:val="28"/>
        </w:rPr>
        <w:t>次</w:t>
      </w:r>
    </w:p>
    <w:tbl>
      <w:tblPr>
        <w:tblStyle w:val="6"/>
        <w:tblW w:w="87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038"/>
        <w:gridCol w:w="1615"/>
        <w:gridCol w:w="1794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活动时间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活动名称</w:t>
            </w: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活动地点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参与学院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参与学院负责人签名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shd w:val="clear" w:color="auto" w:fill="auto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shd w:val="clear" w:color="auto" w:fill="auto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bCs/>
          <w:szCs w:val="21"/>
        </w:rPr>
      </w:pPr>
    </w:p>
    <w:p>
      <w:pPr>
        <w:jc w:val="left"/>
        <w:rPr>
          <w:rFonts w:ascii="仿宋_GB2312" w:hAnsi="仿宋_GB2312" w:eastAsia="仿宋_GB2312" w:cs="仿宋_GB2312"/>
          <w:bCs/>
          <w:szCs w:val="21"/>
        </w:rPr>
      </w:pPr>
    </w:p>
    <w:p>
      <w:pPr>
        <w:jc w:val="center"/>
        <w:rPr>
          <w:rFonts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 xml:space="preserve">XX学院媒体报道汇总表 </w:t>
      </w:r>
    </w:p>
    <w:p>
      <w:pPr>
        <w:jc w:val="left"/>
        <w:rPr>
          <w:rFonts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仿宋_GB2312" w:hAnsi="华文中宋" w:eastAsia="仿宋_GB2312" w:cs="仿宋_GB2312"/>
          <w:bCs/>
          <w:sz w:val="28"/>
          <w:szCs w:val="28"/>
        </w:rPr>
        <w:t>国家级：</w:t>
      </w:r>
      <w:r>
        <w:rPr>
          <w:rFonts w:hint="eastAsia" w:ascii="仿宋_GB2312" w:hAnsi="华文中宋" w:eastAsia="仿宋_GB2312" w:cs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华文中宋" w:eastAsia="仿宋_GB2312" w:cs="仿宋_GB2312"/>
          <w:bCs/>
          <w:sz w:val="28"/>
          <w:szCs w:val="28"/>
        </w:rPr>
        <w:t>次  省级：</w:t>
      </w:r>
      <w:r>
        <w:rPr>
          <w:rFonts w:hint="eastAsia" w:ascii="仿宋_GB2312" w:hAnsi="华文中宋" w:eastAsia="仿宋_GB2312" w:cs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华文中宋" w:eastAsia="仿宋_GB2312" w:cs="仿宋_GB2312"/>
          <w:bCs/>
          <w:sz w:val="28"/>
          <w:szCs w:val="28"/>
        </w:rPr>
        <w:t>次  地市级：</w:t>
      </w:r>
      <w:r>
        <w:rPr>
          <w:rFonts w:hint="eastAsia" w:ascii="仿宋_GB2312" w:hAnsi="华文中宋" w:eastAsia="仿宋_GB2312" w:cs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华文中宋" w:eastAsia="仿宋_GB2312" w:cs="仿宋_GB2312"/>
          <w:bCs/>
          <w:sz w:val="28"/>
          <w:szCs w:val="28"/>
        </w:rPr>
        <w:t>次  校级：</w:t>
      </w:r>
      <w:r>
        <w:rPr>
          <w:rFonts w:hint="eastAsia" w:ascii="仿宋_GB2312" w:hAnsi="华文中宋" w:eastAsia="仿宋_GB2312" w:cs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华文中宋" w:eastAsia="仿宋_GB2312" w:cs="仿宋_GB2312"/>
          <w:bCs/>
          <w:sz w:val="28"/>
          <w:szCs w:val="28"/>
        </w:rPr>
        <w:t>次</w:t>
      </w:r>
    </w:p>
    <w:tbl>
      <w:tblPr>
        <w:tblStyle w:val="7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92"/>
        <w:gridCol w:w="709"/>
        <w:gridCol w:w="1984"/>
        <w:gridCol w:w="283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6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新闻标题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刊发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日期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刊发媒体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媒体类型（报纸、杂志、电视、网络等）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媒体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备注</w:t>
      </w:r>
      <w:r>
        <w:rPr>
          <w:rFonts w:hint="eastAsia" w:ascii="仿宋_GB2312" w:hAnsi="仿宋_GB2312" w:eastAsia="仿宋_GB2312" w:cs="仿宋_GB2312"/>
          <w:szCs w:val="21"/>
        </w:rPr>
        <w:t>：</w:t>
      </w:r>
      <w:r>
        <w:rPr>
          <w:rFonts w:ascii="仿宋_GB2312" w:hAnsi="仿宋_GB2312" w:eastAsia="仿宋_GB2312" w:cs="仿宋_GB2312"/>
          <w:szCs w:val="21"/>
        </w:rPr>
        <w:t>媒体级别分为国家级</w:t>
      </w:r>
      <w:r>
        <w:rPr>
          <w:rFonts w:hint="eastAsia" w:ascii="仿宋_GB2312" w:hAnsi="仿宋_GB2312" w:eastAsia="仿宋_GB2312" w:cs="仿宋_GB2312"/>
          <w:szCs w:val="21"/>
        </w:rPr>
        <w:t>、</w:t>
      </w:r>
      <w:r>
        <w:rPr>
          <w:rFonts w:ascii="仿宋_GB2312" w:hAnsi="仿宋_GB2312" w:eastAsia="仿宋_GB2312" w:cs="仿宋_GB2312"/>
          <w:szCs w:val="21"/>
        </w:rPr>
        <w:t>省级</w:t>
      </w:r>
      <w:r>
        <w:rPr>
          <w:rFonts w:hint="eastAsia" w:ascii="仿宋_GB2312" w:hAnsi="仿宋_GB2312" w:eastAsia="仿宋_GB2312" w:cs="仿宋_GB2312"/>
          <w:szCs w:val="21"/>
        </w:rPr>
        <w:t>、</w:t>
      </w:r>
      <w:r>
        <w:rPr>
          <w:rFonts w:ascii="仿宋_GB2312" w:hAnsi="仿宋_GB2312" w:eastAsia="仿宋_GB2312" w:cs="仿宋_GB2312"/>
          <w:szCs w:val="21"/>
        </w:rPr>
        <w:t>地市级</w:t>
      </w:r>
      <w:r>
        <w:rPr>
          <w:rFonts w:hint="eastAsia" w:ascii="仿宋_GB2312" w:hAnsi="仿宋_GB2312" w:eastAsia="仿宋_GB2312" w:cs="仿宋_GB2312"/>
          <w:szCs w:val="21"/>
        </w:rPr>
        <w:t>、</w:t>
      </w:r>
      <w:r>
        <w:rPr>
          <w:rFonts w:ascii="仿宋_GB2312" w:hAnsi="仿宋_GB2312" w:eastAsia="仿宋_GB2312" w:cs="仿宋_GB2312"/>
          <w:szCs w:val="21"/>
        </w:rPr>
        <w:t>校级四类</w:t>
      </w:r>
      <w:r>
        <w:rPr>
          <w:rFonts w:hint="eastAsia" w:ascii="仿宋_GB2312" w:hAnsi="仿宋_GB2312" w:eastAsia="仿宋_GB2312" w:cs="仿宋_GB2312"/>
          <w:szCs w:val="21"/>
        </w:rPr>
        <w:t>。</w:t>
      </w: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附件3：</w:t>
      </w:r>
    </w:p>
    <w:p>
      <w:pPr>
        <w:spacing w:after="240"/>
        <w:jc w:val="center"/>
        <w:rPr>
          <w:rFonts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>浙江工商大学志愿服务先进集体评选办法</w:t>
      </w:r>
    </w:p>
    <w:p>
      <w:pPr>
        <w:pStyle w:val="14"/>
        <w:numPr>
          <w:ilvl w:val="0"/>
          <w:numId w:val="0"/>
        </w:numPr>
        <w:spacing w:line="560" w:lineRule="atLeast"/>
        <w:ind w:firstLine="560" w:firstLineChars="200"/>
        <w:rPr>
          <w:rFonts w:ascii="仿宋_GB2312" w:hAnsi="仿宋_GB2312" w:eastAsia="仿宋_GB2312" w:cs="仿宋_GB2312"/>
          <w:b w:val="0"/>
          <w:sz w:val="28"/>
          <w:szCs w:val="28"/>
        </w:rPr>
      </w:pPr>
    </w:p>
    <w:p>
      <w:pPr>
        <w:pStyle w:val="14"/>
        <w:numPr>
          <w:ilvl w:val="0"/>
          <w:numId w:val="0"/>
        </w:numPr>
        <w:spacing w:line="560" w:lineRule="atLeas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一、评比目的</w:t>
      </w:r>
    </w:p>
    <w:p>
      <w:pPr>
        <w:pStyle w:val="14"/>
        <w:numPr>
          <w:ilvl w:val="0"/>
          <w:numId w:val="0"/>
        </w:numPr>
        <w:spacing w:line="560" w:lineRule="atLeast"/>
        <w:ind w:firstLine="560" w:firstLineChars="200"/>
        <w:rPr>
          <w:rFonts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为弘扬“奉献、友爱、互助、进步”的志愿精神，激励先进，树立典型，营造良好的校园志愿服务氛围，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推动大学生积极参与社会事业，服务人民，特举办浙江工商大学志愿服务先进集体评选活动。</w:t>
      </w:r>
    </w:p>
    <w:p>
      <w:pPr>
        <w:pStyle w:val="14"/>
        <w:numPr>
          <w:ilvl w:val="0"/>
          <w:numId w:val="0"/>
        </w:numPr>
        <w:spacing w:line="560" w:lineRule="atLeas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二、评比时间</w:t>
      </w:r>
    </w:p>
    <w:p>
      <w:pPr>
        <w:pStyle w:val="14"/>
        <w:numPr>
          <w:ilvl w:val="0"/>
          <w:numId w:val="0"/>
        </w:numPr>
        <w:spacing w:line="560" w:lineRule="atLeast"/>
        <w:ind w:firstLine="560" w:firstLineChars="200"/>
        <w:rPr>
          <w:rFonts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评选以自然年作为数据统计周期（具体起止时间以当年度通知为准）</w:t>
      </w:r>
    </w:p>
    <w:p>
      <w:pPr>
        <w:pStyle w:val="14"/>
        <w:numPr>
          <w:ilvl w:val="0"/>
          <w:numId w:val="0"/>
        </w:numPr>
        <w:spacing w:line="560" w:lineRule="atLeas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三、组织单位</w:t>
      </w:r>
    </w:p>
    <w:p>
      <w:pPr>
        <w:pStyle w:val="14"/>
        <w:numPr>
          <w:ilvl w:val="0"/>
          <w:numId w:val="0"/>
        </w:numPr>
        <w:spacing w:line="560" w:lineRule="atLeast"/>
        <w:ind w:firstLine="560" w:firstLineChars="200"/>
        <w:rPr>
          <w:rFonts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共青团浙江工商大学委员会、浙江工商大学学生会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、奖项设立</w:t>
      </w:r>
    </w:p>
    <w:p>
      <w:pPr>
        <w:spacing w:line="560" w:lineRule="exact"/>
        <w:ind w:firstLine="562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评选设立6个浙江工商大学“志愿服务先进集体”。</w:t>
      </w:r>
    </w:p>
    <w:p>
      <w:pPr>
        <w:pStyle w:val="14"/>
        <w:numPr>
          <w:ilvl w:val="0"/>
          <w:numId w:val="0"/>
        </w:numPr>
        <w:spacing w:line="560" w:lineRule="atLeas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评选对象</w:t>
      </w:r>
    </w:p>
    <w:p>
      <w:pPr>
        <w:pStyle w:val="14"/>
        <w:numPr>
          <w:ilvl w:val="0"/>
          <w:numId w:val="0"/>
        </w:numPr>
        <w:spacing w:line="560" w:lineRule="exact"/>
        <w:ind w:firstLine="560"/>
        <w:jc w:val="both"/>
        <w:rPr>
          <w:rFonts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成立1年以上，在志愿者管理、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志愿服务活动举办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等方面表现突出的浙江工商大学学院青年志愿者服务队（杭州商学院除外）。</w:t>
      </w:r>
    </w:p>
    <w:p>
      <w:pPr>
        <w:pStyle w:val="14"/>
        <w:numPr>
          <w:ilvl w:val="0"/>
          <w:numId w:val="0"/>
        </w:numPr>
        <w:spacing w:line="560" w:lineRule="atLeas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、评比内容</w:t>
      </w:r>
    </w:p>
    <w:p>
      <w:pPr>
        <w:pStyle w:val="14"/>
        <w:numPr>
          <w:ilvl w:val="0"/>
          <w:numId w:val="0"/>
        </w:numPr>
        <w:spacing w:line="560" w:lineRule="atLeast"/>
        <w:ind w:firstLine="560" w:firstLineChars="200"/>
        <w:rPr>
          <w:rFonts w:ascii="仿宋_GB2312" w:hAnsi="仿宋_GB2312" w:eastAsia="仿宋_GB2312" w:cs="仿宋_GB2312"/>
          <w:b w:val="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sz w:val="28"/>
          <w:szCs w:val="28"/>
        </w:rPr>
        <w:t>评选分为日常工作得分和现场评选得分，最终评选总分=日常工作得分（60%）+现场评选得分（40%）。其中，日常工作得分=基础分（30%）+</w:t>
      </w: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工作成效</w:t>
      </w:r>
      <w:r>
        <w:rPr>
          <w:rFonts w:ascii="仿宋_GB2312" w:hAnsi="仿宋_GB2312" w:eastAsia="仿宋_GB2312" w:cs="仿宋_GB2312"/>
          <w:b w:val="0"/>
          <w:sz w:val="28"/>
          <w:szCs w:val="28"/>
        </w:rPr>
        <w:t>分（70%），现场评选得分=评委得分（80%）+学院互评得分（20%）。</w:t>
      </w: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详见附件。</w:t>
      </w:r>
    </w:p>
    <w:p>
      <w:pPr>
        <w:pStyle w:val="14"/>
        <w:numPr>
          <w:ilvl w:val="0"/>
          <w:numId w:val="0"/>
        </w:numPr>
        <w:tabs>
          <w:tab w:val="left" w:pos="2143"/>
        </w:tabs>
        <w:spacing w:line="560" w:lineRule="atLeast"/>
        <w:ind w:firstLine="420" w:firstLineChars="150"/>
        <w:rPr>
          <w:rFonts w:ascii="仿宋_GB2312" w:hAnsi="仿宋_GB2312" w:eastAsia="仿宋_GB2312" w:cs="仿宋_GB2312"/>
          <w:b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4"/>
        <w:numPr>
          <w:ilvl w:val="0"/>
          <w:numId w:val="0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一、日常工作得分细则</w:t>
      </w:r>
    </w:p>
    <w:tbl>
      <w:tblPr>
        <w:tblStyle w:val="6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4920"/>
        <w:gridCol w:w="62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一级指标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二级指标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指标内容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基础分（30分）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注册志愿汇情况（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依据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注册志愿汇比例，排名1－5的学院加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分，排名6－12的学院加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分，排名13－20的学院加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该项数据由校志协志愿者管理部统计。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负责人例会出席情况（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采取扣分制，扣完为止。缺席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扣2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分/次，迟到扣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分/次，请假扣分视情况而定，无特殊理由扣1分/次。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该项数据由校志协办公室提供。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行事历上交情况（5分）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采取扣分制，扣完为止。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根据《浙江工商大学志愿者协会行事历管理办法（学院）》，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按时上交每周行事历。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未交扣2分/次；迟交扣1分/次；格式错误扣0.5分/次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。该项数据由校志协办公室提供。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评选材料上交情况（5分）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采取扣分制，扣完为止。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各学院若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未在规定时间内上交扣1分，短信及电话催促未交扣2分/次。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该项数据由校志协志愿者管理部统计。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物资借用情况（5分）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采取扣分制，扣完为止。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红马甲超时（3个工作日）未还，扣0.5分/次；红马甲遗失，扣1分/件；红马甲潮湿、污损、异味，扣0.5分/次。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该项数据由校志协办公室提供。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工作成效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分（70分）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活动数量（20分）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采取赋分制，加满为止。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学院青年志愿服务队开展活动数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小于等于3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0个的，获基础分8分；超过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0个，每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增加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一个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在8分的基础上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加0.2分，同一活动分时段申请的仍以一个活动计算，以校志协志愿者管理部U盘记录、志愿汇后台记录为准。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该项数据由校志协志愿者管理部统计。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媒体报道情况（15分）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采取赋分制，加满为止。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媒体报道宣传，包括报纸和网络，分国家级（报道3分/次）、省级（报道2分/次）以及地市级（报道1分/次）三类。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附件材料必须涉及“浙江工商大学XX学院志愿者”或“浙江工商大学XX学院青志”的字样，上限为1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该项数据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由各学院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负责统计，校志协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志愿者管理部负责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平均志愿时数（10分）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依据学院平均志愿时数（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当年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学院总时数/学院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人数），排名第一的学院加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分，排名二至三的学院加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分，排名四至七的学院加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该项数据由校志协志愿者管理部提供。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志愿服务活动基地个数（10分）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采取赋分制，加满为止。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在原有基础上，学院青志队伍每增加一个已建一年以上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，五年以下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的志愿服务活动基地，须提供合同协议的复印件，否则无效，每个加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五年以（含5年），每个加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上限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该项数据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由各学院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负责统计，校志协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志愿者管理部负责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优秀志愿项目培育（5分）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采取赋分制，加满为止。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自2018年度先进集体评选始，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入围悦纯公益并结题的学院项目，每个项目加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分。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入围并结题悦纯公益优秀培育项目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的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学院项目，每个项目加2分。同一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项目择最高加分项加分，不累加。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该项数据由校志协项目运营部提供。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志协主办，学院承办的系列活动（5分）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采取赋分制，加满为止。各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承办由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志协发出的志愿活动，每次活动加0.5分，上限为5分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。该项数据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由各学院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负责统计，校志协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志愿者管理部负责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p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志愿者协会培训学院（5分）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依据各学院结业率（结业人数/学院人数）排名，排名第一的学院加5分，排名二至三的学院加3分，排名四至七的学院加1分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。该项数据由校志协人力资源部提供。</w:t>
            </w:r>
          </w:p>
        </w:tc>
      </w:tr>
    </w:tbl>
    <w:p>
      <w:pPr>
        <w:pStyle w:val="14"/>
        <w:numPr>
          <w:ilvl w:val="0"/>
          <w:numId w:val="0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b w:val="0"/>
          <w:sz w:val="28"/>
          <w:szCs w:val="28"/>
        </w:rPr>
      </w:pPr>
    </w:p>
    <w:p>
      <w:pPr>
        <w:pStyle w:val="14"/>
        <w:numPr>
          <w:ilvl w:val="0"/>
          <w:numId w:val="0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二、现场评选得分细则（40%）</w:t>
      </w:r>
    </w:p>
    <w:tbl>
      <w:tblPr>
        <w:tblStyle w:val="7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4935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评分要素</w:t>
            </w:r>
          </w:p>
        </w:tc>
        <w:tc>
          <w:tcPr>
            <w:tcW w:w="49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评分要点</w:t>
            </w:r>
          </w:p>
        </w:tc>
        <w:tc>
          <w:tcPr>
            <w:tcW w:w="621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志愿服务活动总结</w:t>
            </w:r>
          </w:p>
          <w:p>
            <w:pPr>
              <w:spacing w:line="36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（65分）</w:t>
            </w:r>
          </w:p>
        </w:tc>
        <w:tc>
          <w:tcPr>
            <w:tcW w:w="49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陈述内容（55分）</w:t>
            </w:r>
          </w:p>
        </w:tc>
        <w:tc>
          <w:tcPr>
            <w:tcW w:w="621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1、学院青志概况表述明确清晰，组织健全，机制完善，管理规范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15" w:type="dxa"/>
            <w:vMerge w:val="continue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4935" w:type="dxa"/>
            <w:vMerge w:val="continue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10" w:type="dxa"/>
          </w:tcPr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both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2、志愿服务活动有明确的志愿性质，开展形式多样，与专业特色相结合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015" w:type="dxa"/>
            <w:vMerge w:val="continue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4935" w:type="dxa"/>
            <w:vMerge w:val="continue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10" w:type="dxa"/>
          </w:tcPr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both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3、PPT设计重点突出，条理清晰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15" w:type="dxa"/>
            <w:vMerge w:val="continue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49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陈述时间（10分）</w:t>
            </w:r>
          </w:p>
        </w:tc>
        <w:tc>
          <w:tcPr>
            <w:tcW w:w="6210" w:type="dxa"/>
          </w:tcPr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both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1、PPT展示时间掌握精准，不超过五分半钟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答辩整体表现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（35分）</w:t>
            </w:r>
          </w:p>
        </w:tc>
        <w:tc>
          <w:tcPr>
            <w:tcW w:w="49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基本素养（10分）</w:t>
            </w:r>
          </w:p>
        </w:tc>
        <w:tc>
          <w:tcPr>
            <w:tcW w:w="621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1、讲述人仪表端庄稳重、朴素、大方得体，精神饱满，能充分展现大学生朝气蓬勃的精神风貌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vMerge w:val="continue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935" w:type="dxa"/>
            <w:vMerge w:val="continue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1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2、表达条理清晰，流利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vMerge w:val="continue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9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针对性、说服力（25分）</w:t>
            </w:r>
          </w:p>
        </w:tc>
        <w:tc>
          <w:tcPr>
            <w:tcW w:w="6210" w:type="dxa"/>
          </w:tcPr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both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1、能正确理解评委提问，回答有针对性，论述有说服力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vMerge w:val="continue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935" w:type="dxa"/>
            <w:vMerge w:val="continue"/>
          </w:tcPr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1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2、回答过程流畅，条理清晰，应变能力强</w:t>
            </w:r>
          </w:p>
        </w:tc>
      </w:tr>
    </w:tbl>
    <w:p>
      <w:pPr>
        <w:spacing w:after="240"/>
        <w:jc w:val="both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16"/>
      <w:suff w:val="nothing"/>
      <w:lvlText w:val="（%1）"/>
      <w:lvlJc w:val="left"/>
      <w:pPr>
        <w:ind w:left="289" w:firstLine="420"/>
      </w:pPr>
      <w:rPr>
        <w:rFonts w:hint="eastAsia"/>
        <w:b w:val="0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pStyle w:val="1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3A4F33DF"/>
    <w:multiLevelType w:val="singleLevel"/>
    <w:tmpl w:val="3A4F33DF"/>
    <w:lvl w:ilvl="0" w:tentative="0">
      <w:start w:val="1"/>
      <w:numFmt w:val="chineseCounting"/>
      <w:pStyle w:val="1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4962F3"/>
    <w:rsid w:val="7236769B"/>
    <w:rsid w:val="76E8231F"/>
    <w:rsid w:val="7E5B56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6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qFormat/>
    <w:uiPriority w:val="34"/>
    <w:pPr>
      <w:ind w:firstLine="420" w:firstLineChars="200"/>
    </w:pPr>
  </w:style>
  <w:style w:type="paragraph" w:customStyle="1" w:styleId="14">
    <w:name w:val="样式1"/>
    <w:basedOn w:val="1"/>
    <w:qFormat/>
    <w:uiPriority w:val="0"/>
    <w:pPr>
      <w:numPr>
        <w:ilvl w:val="0"/>
        <w:numId w:val="1"/>
      </w:numPr>
      <w:jc w:val="left"/>
    </w:pPr>
    <w:rPr>
      <w:b/>
      <w:sz w:val="32"/>
    </w:rPr>
  </w:style>
  <w:style w:type="paragraph" w:customStyle="1" w:styleId="15">
    <w:name w:val="样式6"/>
    <w:basedOn w:val="1"/>
    <w:qFormat/>
    <w:uiPriority w:val="0"/>
    <w:pPr>
      <w:numPr>
        <w:ilvl w:val="0"/>
        <w:numId w:val="2"/>
      </w:numPr>
      <w:jc w:val="left"/>
    </w:pPr>
    <w:rPr>
      <w:sz w:val="28"/>
    </w:rPr>
  </w:style>
  <w:style w:type="paragraph" w:customStyle="1" w:styleId="16">
    <w:name w:val="样式5"/>
    <w:basedOn w:val="1"/>
    <w:qFormat/>
    <w:uiPriority w:val="0"/>
    <w:pPr>
      <w:numPr>
        <w:ilvl w:val="0"/>
        <w:numId w:val="3"/>
      </w:numPr>
      <w:jc w:val="left"/>
    </w:pPr>
    <w:rPr>
      <w:sz w:val="28"/>
    </w:rPr>
  </w:style>
  <w:style w:type="character" w:customStyle="1" w:styleId="17">
    <w:name w:val="批注框文本 字符"/>
    <w:basedOn w:val="8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www.xitongtiandi.com</Company>
  <Pages>1</Pages>
  <Words>530</Words>
  <Characters>3023</Characters>
  <Lines>25</Lines>
  <Paragraphs>7</Paragraphs>
  <TotalTime>11</TotalTime>
  <ScaleCrop>false</ScaleCrop>
  <LinksUpToDate>false</LinksUpToDate>
  <CharactersWithSpaces>3546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2019-11-06T22:36:00Z</dcterms:created>
  <dc:creator>Administrator</dc:creator>
  <cp:lastModifiedBy>gcn</cp:lastModifiedBy>
  <cp:lastPrinted>2017-10-23T23:26:00Z</cp:lastPrinted>
  <dcterms:modified xsi:type="dcterms:W3CDTF">2019-11-07T01:21:22Z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