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rPr>
          <w:rFonts w:ascii="仿宋_GB2312" w:hAnsi="宋体" w:eastAsia="仿宋_GB2312" w:cs="宋体"/>
          <w:bCs/>
          <w:color w:val="000000"/>
          <w:sz w:val="28"/>
          <w:szCs w:val="28"/>
        </w:rPr>
      </w:pPr>
      <w:bookmarkStart w:id="0" w:name="_Hlk36105977"/>
      <w:r>
        <w:rPr>
          <w:rFonts w:hint="eastAsia" w:ascii="仿宋_GB2312" w:hAnsi="宋体" w:eastAsia="仿宋_GB2312" w:cs="宋体"/>
          <w:b/>
          <w:color w:val="000000"/>
          <w:sz w:val="28"/>
          <w:szCs w:val="28"/>
        </w:rPr>
        <w:t>附件1</w:t>
      </w:r>
    </w:p>
    <w:p>
      <w:pPr>
        <w:jc w:val="center"/>
        <w:rPr>
          <w:rFonts w:ascii="黑体" w:hAnsi="黑体" w:eastAsia="黑体"/>
          <w:b/>
          <w:color w:val="000000"/>
          <w:sz w:val="32"/>
          <w:szCs w:val="32"/>
        </w:rPr>
      </w:pPr>
      <w:bookmarkStart w:id="1" w:name="_Hlk508211157"/>
      <w:r>
        <w:rPr>
          <w:rFonts w:hint="eastAsia" w:ascii="黑体" w:hAnsi="黑体" w:eastAsia="黑体"/>
          <w:b/>
          <w:color w:val="000000"/>
          <w:sz w:val="32"/>
          <w:szCs w:val="32"/>
        </w:rPr>
        <w:t>浙江工商大学</w:t>
      </w:r>
      <w:r>
        <w:rPr>
          <w:rFonts w:hint="eastAsia" w:ascii="黑体" w:hAnsi="黑体" w:eastAsia="黑体"/>
          <w:b/>
          <w:color w:val="000000"/>
          <w:sz w:val="32"/>
          <w:szCs w:val="32"/>
          <w:lang w:val="en-US" w:eastAsia="zh-CN"/>
        </w:rPr>
        <w:t>2020年度</w:t>
      </w:r>
      <w:r>
        <w:rPr>
          <w:rFonts w:hint="eastAsia" w:ascii="黑体" w:hAnsi="黑体" w:eastAsia="黑体"/>
          <w:b/>
          <w:color w:val="000000"/>
          <w:sz w:val="32"/>
          <w:szCs w:val="32"/>
        </w:rPr>
        <w:t>“</w:t>
      </w:r>
      <w:r>
        <w:rPr>
          <w:rFonts w:ascii="黑体" w:hAnsi="黑体" w:eastAsia="黑体"/>
          <w:b/>
          <w:color w:val="000000"/>
          <w:sz w:val="32"/>
          <w:szCs w:val="32"/>
        </w:rPr>
        <w:t>五四红旗团委</w:t>
      </w:r>
      <w:r>
        <w:rPr>
          <w:rFonts w:hint="eastAsia" w:ascii="黑体" w:hAnsi="黑体" w:eastAsia="黑体"/>
          <w:b/>
          <w:color w:val="000000"/>
          <w:sz w:val="32"/>
          <w:szCs w:val="32"/>
        </w:rPr>
        <w:t>”“</w:t>
      </w:r>
      <w:r>
        <w:rPr>
          <w:rFonts w:ascii="黑体" w:hAnsi="黑体" w:eastAsia="黑体"/>
          <w:b/>
          <w:color w:val="000000"/>
          <w:sz w:val="32"/>
          <w:szCs w:val="32"/>
        </w:rPr>
        <w:t>先进</w:t>
      </w:r>
      <w:r>
        <w:rPr>
          <w:rFonts w:hint="eastAsia" w:ascii="黑体" w:hAnsi="黑体" w:eastAsia="黑体"/>
          <w:b/>
          <w:color w:val="000000"/>
          <w:sz w:val="32"/>
          <w:szCs w:val="32"/>
        </w:rPr>
        <w:t>团委”和</w:t>
      </w:r>
    </w:p>
    <w:p>
      <w:pPr>
        <w:jc w:val="center"/>
        <w:rPr>
          <w:rFonts w:ascii="黑体" w:hAnsi="黑体" w:eastAsia="黑体"/>
          <w:b/>
          <w:color w:val="000000"/>
          <w:sz w:val="32"/>
          <w:szCs w:val="32"/>
        </w:rPr>
      </w:pPr>
      <w:r>
        <w:rPr>
          <w:rFonts w:hint="eastAsia" w:ascii="黑体" w:hAnsi="黑体" w:eastAsia="黑体"/>
          <w:b/>
          <w:color w:val="000000"/>
          <w:sz w:val="32"/>
          <w:szCs w:val="32"/>
        </w:rPr>
        <w:t>“共青团突出</w:t>
      </w:r>
      <w:r>
        <w:rPr>
          <w:rFonts w:ascii="黑体" w:hAnsi="黑体" w:eastAsia="黑体"/>
          <w:b/>
          <w:color w:val="000000"/>
          <w:sz w:val="32"/>
          <w:szCs w:val="32"/>
        </w:rPr>
        <w:t>贡献奖</w:t>
      </w:r>
      <w:r>
        <w:rPr>
          <w:rFonts w:hint="eastAsia" w:ascii="黑体" w:hAnsi="黑体" w:eastAsia="黑体"/>
          <w:b/>
          <w:color w:val="000000"/>
          <w:sz w:val="32"/>
          <w:szCs w:val="32"/>
        </w:rPr>
        <w:t>”评比细则</w:t>
      </w:r>
      <w:bookmarkEnd w:id="1"/>
    </w:p>
    <w:tbl>
      <w:tblPr>
        <w:tblStyle w:val="4"/>
        <w:tblW w:w="870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9"/>
        <w:gridCol w:w="785"/>
        <w:gridCol w:w="786"/>
        <w:gridCol w:w="820"/>
        <w:gridCol w:w="559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719" w:type="dxa"/>
            <w:vAlign w:val="center"/>
          </w:tcPr>
          <w:p>
            <w:pPr>
              <w:adjustRightInd w:val="0"/>
              <w:spacing w:line="360" w:lineRule="auto"/>
              <w:jc w:val="center"/>
              <w:rPr>
                <w:rFonts w:ascii="仿宋_GB2312" w:hAnsi="仿宋_GB2312" w:eastAsia="仿宋_GB2312" w:cs="仿宋_GB2312"/>
                <w:b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  <w:t>一级</w:t>
            </w:r>
          </w:p>
          <w:p>
            <w:pPr>
              <w:adjustRightInd w:val="0"/>
              <w:spacing w:line="360" w:lineRule="auto"/>
              <w:jc w:val="center"/>
              <w:rPr>
                <w:rFonts w:ascii="仿宋_GB2312" w:hAnsi="仿宋_GB2312" w:eastAsia="仿宋_GB2312" w:cs="仿宋_GB2312"/>
                <w:b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  <w:t>指标</w:t>
            </w:r>
          </w:p>
        </w:tc>
        <w:tc>
          <w:tcPr>
            <w:tcW w:w="785" w:type="dxa"/>
            <w:vAlign w:val="center"/>
          </w:tcPr>
          <w:p>
            <w:pPr>
              <w:adjustRightInd w:val="0"/>
              <w:spacing w:line="360" w:lineRule="auto"/>
              <w:jc w:val="center"/>
              <w:rPr>
                <w:rFonts w:ascii="仿宋_GB2312" w:hAnsi="仿宋_GB2312" w:eastAsia="仿宋_GB2312" w:cs="仿宋_GB2312"/>
                <w:b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  <w:t>权重</w:t>
            </w:r>
          </w:p>
        </w:tc>
        <w:tc>
          <w:tcPr>
            <w:tcW w:w="786" w:type="dxa"/>
            <w:vAlign w:val="center"/>
          </w:tcPr>
          <w:p>
            <w:pPr>
              <w:adjustRightInd w:val="0"/>
              <w:spacing w:line="360" w:lineRule="auto"/>
              <w:jc w:val="center"/>
              <w:rPr>
                <w:rFonts w:ascii="仿宋_GB2312" w:hAnsi="仿宋_GB2312" w:eastAsia="仿宋_GB2312" w:cs="仿宋_GB2312"/>
                <w:b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  <w:t>二级</w:t>
            </w:r>
          </w:p>
          <w:p>
            <w:pPr>
              <w:adjustRightInd w:val="0"/>
              <w:spacing w:line="360" w:lineRule="auto"/>
              <w:jc w:val="center"/>
              <w:rPr>
                <w:rFonts w:ascii="仿宋_GB2312" w:hAnsi="仿宋_GB2312" w:eastAsia="仿宋_GB2312" w:cs="仿宋_GB2312"/>
                <w:b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  <w:t>指标</w:t>
            </w:r>
          </w:p>
        </w:tc>
        <w:tc>
          <w:tcPr>
            <w:tcW w:w="820" w:type="dxa"/>
            <w:vAlign w:val="center"/>
          </w:tcPr>
          <w:p>
            <w:pPr>
              <w:adjustRightInd w:val="0"/>
              <w:spacing w:line="360" w:lineRule="auto"/>
              <w:jc w:val="center"/>
              <w:rPr>
                <w:rFonts w:ascii="仿宋_GB2312" w:hAnsi="仿宋_GB2312" w:eastAsia="仿宋_GB2312" w:cs="仿宋_GB2312"/>
                <w:b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  <w:t>权重</w:t>
            </w:r>
          </w:p>
        </w:tc>
        <w:tc>
          <w:tcPr>
            <w:tcW w:w="5594" w:type="dxa"/>
            <w:vAlign w:val="center"/>
          </w:tcPr>
          <w:p>
            <w:pPr>
              <w:adjustRightInd w:val="0"/>
              <w:spacing w:line="360" w:lineRule="auto"/>
              <w:ind w:firstLine="32"/>
              <w:jc w:val="center"/>
              <w:rPr>
                <w:rFonts w:ascii="仿宋_GB2312" w:hAnsi="仿宋_GB2312" w:eastAsia="仿宋_GB2312" w:cs="仿宋_GB2312"/>
                <w:b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  <w:t>评价标准和计分方法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719" w:type="dxa"/>
            <w:vMerge w:val="restart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仿宋_GB2312" w:eastAsia="仿宋_GB2312" w:cs="仿宋_GB2312"/>
                <w:b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  <w:t>日常</w:t>
            </w:r>
          </w:p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仿宋_GB2312" w:eastAsia="仿宋_GB2312" w:cs="仿宋_GB2312"/>
                <w:b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  <w:t>工作考核</w:t>
            </w:r>
          </w:p>
        </w:tc>
        <w:tc>
          <w:tcPr>
            <w:tcW w:w="785" w:type="dxa"/>
            <w:vMerge w:val="restart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仿宋_GB2312" w:eastAsia="仿宋_GB2312" w:cs="仿宋_GB2312"/>
                <w:b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  <w:t>70%</w:t>
            </w:r>
          </w:p>
        </w:tc>
        <w:tc>
          <w:tcPr>
            <w:tcW w:w="786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仿宋_GB2312" w:eastAsia="仿宋_GB2312" w:cs="仿宋_GB2312"/>
                <w:b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  <w:t>基础建设</w:t>
            </w:r>
          </w:p>
        </w:tc>
        <w:tc>
          <w:tcPr>
            <w:tcW w:w="820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仿宋_GB2312" w:eastAsia="仿宋_GB2312" w:cs="仿宋_GB2312"/>
                <w:b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  <w:t>3</w:t>
            </w:r>
            <w:r>
              <w:rPr>
                <w:rFonts w:ascii="仿宋_GB2312" w:hAnsi="仿宋_GB2312" w:eastAsia="仿宋_GB2312" w:cs="仿宋_GB2312"/>
                <w:b/>
                <w:color w:val="000000"/>
                <w:szCs w:val="21"/>
              </w:rPr>
              <w:t>0%</w:t>
            </w:r>
          </w:p>
        </w:tc>
        <w:tc>
          <w:tcPr>
            <w:tcW w:w="5594" w:type="dxa"/>
            <w:vAlign w:val="center"/>
          </w:tcPr>
          <w:p>
            <w:pPr>
              <w:adjustRightInd w:val="0"/>
              <w:snapToGrid w:val="0"/>
              <w:spacing w:line="300" w:lineRule="exact"/>
              <w:ind w:firstLine="420"/>
              <w:rPr>
                <w:rFonts w:ascii="仿宋_GB2312" w:hAnsi="仿宋" w:eastAsia="仿宋_GB2312"/>
                <w:color w:val="000000"/>
                <w:szCs w:val="21"/>
              </w:rPr>
            </w:pPr>
            <w:r>
              <w:rPr>
                <w:rFonts w:hint="eastAsia" w:ascii="仿宋_GB2312" w:hAnsi="仿宋" w:eastAsia="仿宋_GB2312"/>
                <w:color w:val="000000"/>
                <w:szCs w:val="21"/>
              </w:rPr>
              <w:t>考核内容包括党建带团建、基层组织建设、团学干部队伍建设三方面。</w:t>
            </w:r>
          </w:p>
          <w:p>
            <w:pPr>
              <w:adjustRightInd w:val="0"/>
              <w:snapToGrid w:val="0"/>
              <w:spacing w:line="300" w:lineRule="exact"/>
              <w:ind w:firstLine="420"/>
              <w:rPr>
                <w:rFonts w:ascii="仿宋_GB2312" w:hAnsi="仿宋" w:eastAsia="仿宋_GB2312"/>
                <w:color w:val="000000"/>
                <w:szCs w:val="21"/>
              </w:rPr>
            </w:pPr>
            <w:r>
              <w:rPr>
                <w:rFonts w:hint="eastAsia" w:ascii="仿宋_GB2312" w:hAnsi="仿宋" w:eastAsia="仿宋_GB2312"/>
                <w:color w:val="000000"/>
                <w:szCs w:val="21"/>
              </w:rPr>
              <w:t>党建带团建：确保学院</w:t>
            </w:r>
            <w:r>
              <w:rPr>
                <w:rFonts w:ascii="仿宋_GB2312" w:hAnsi="仿宋" w:eastAsia="仿宋_GB2312"/>
                <w:color w:val="000000"/>
                <w:szCs w:val="21"/>
              </w:rPr>
              <w:t>党委</w:t>
            </w:r>
            <w:r>
              <w:rPr>
                <w:rFonts w:hint="eastAsia" w:ascii="仿宋_GB2312" w:hAnsi="仿宋" w:eastAsia="仿宋_GB2312"/>
                <w:color w:val="000000"/>
                <w:szCs w:val="21"/>
              </w:rPr>
              <w:t>有1名</w:t>
            </w:r>
            <w:r>
              <w:rPr>
                <w:rFonts w:ascii="仿宋_GB2312" w:hAnsi="仿宋" w:eastAsia="仿宋_GB2312"/>
                <w:color w:val="000000"/>
                <w:szCs w:val="21"/>
              </w:rPr>
              <w:t>书记</w:t>
            </w:r>
            <w:r>
              <w:rPr>
                <w:rFonts w:hint="eastAsia" w:ascii="仿宋_GB2312" w:hAnsi="仿宋" w:eastAsia="仿宋_GB2312"/>
                <w:color w:val="000000"/>
                <w:szCs w:val="21"/>
              </w:rPr>
              <w:t>分管共青团</w:t>
            </w:r>
            <w:r>
              <w:rPr>
                <w:rFonts w:ascii="仿宋_GB2312" w:hAnsi="仿宋" w:eastAsia="仿宋_GB2312"/>
                <w:color w:val="000000"/>
                <w:szCs w:val="21"/>
              </w:rPr>
              <w:t>工作</w:t>
            </w:r>
            <w:r>
              <w:rPr>
                <w:rFonts w:hint="eastAsia" w:ascii="仿宋_GB2312" w:hAnsi="仿宋" w:eastAsia="仿宋_GB2312"/>
                <w:color w:val="000000"/>
                <w:szCs w:val="21"/>
              </w:rPr>
              <w:t>，有1</w:t>
            </w:r>
            <w:r>
              <w:rPr>
                <w:rFonts w:ascii="仿宋_GB2312" w:hAnsi="仿宋" w:eastAsia="仿宋_GB2312"/>
                <w:color w:val="000000"/>
                <w:szCs w:val="21"/>
              </w:rPr>
              <w:t>名</w:t>
            </w:r>
            <w:r>
              <w:rPr>
                <w:rFonts w:hint="eastAsia" w:ascii="仿宋_GB2312" w:hAnsi="仿宋" w:eastAsia="仿宋_GB2312"/>
                <w:color w:val="000000"/>
                <w:szCs w:val="21"/>
              </w:rPr>
              <w:t>学院领导指导</w:t>
            </w:r>
            <w:r>
              <w:rPr>
                <w:rFonts w:ascii="仿宋_GB2312" w:hAnsi="仿宋" w:eastAsia="仿宋_GB2312"/>
                <w:color w:val="000000"/>
                <w:szCs w:val="21"/>
              </w:rPr>
              <w:t>共青团</w:t>
            </w:r>
            <w:r>
              <w:rPr>
                <w:rFonts w:hint="eastAsia" w:ascii="仿宋_GB2312" w:hAnsi="仿宋" w:eastAsia="仿宋_GB2312"/>
                <w:color w:val="000000"/>
                <w:szCs w:val="21"/>
              </w:rPr>
              <w:t>学生</w:t>
            </w:r>
            <w:r>
              <w:rPr>
                <w:rFonts w:ascii="仿宋_GB2312" w:hAnsi="仿宋" w:eastAsia="仿宋_GB2312"/>
                <w:color w:val="000000"/>
                <w:szCs w:val="21"/>
              </w:rPr>
              <w:t>科技工作</w:t>
            </w:r>
            <w:r>
              <w:rPr>
                <w:rFonts w:hint="eastAsia" w:ascii="仿宋_GB2312" w:hAnsi="仿宋" w:eastAsia="仿宋_GB2312"/>
                <w:color w:val="000000"/>
                <w:szCs w:val="21"/>
              </w:rPr>
              <w:t>，计1分；学院党委每年至少召开1次专题会议研究共青团工作，计1分；学院党委确定团委负责人任免等事项，事先征求学校团委意见，计1分；学院团委严格履行“推荐优秀团员作入党积极分子人选”制度，将推优纳入学院党员发展工作规划，计1分；学院团学工作</w:t>
            </w:r>
            <w:r>
              <w:rPr>
                <w:rFonts w:ascii="仿宋_GB2312" w:hAnsi="仿宋" w:eastAsia="仿宋_GB2312"/>
                <w:color w:val="000000"/>
                <w:szCs w:val="21"/>
              </w:rPr>
              <w:t>开展有固定场地</w:t>
            </w:r>
            <w:r>
              <w:rPr>
                <w:rFonts w:hint="eastAsia" w:ascii="仿宋_GB2312" w:hAnsi="仿宋" w:eastAsia="仿宋_GB2312"/>
                <w:color w:val="000000"/>
                <w:szCs w:val="21"/>
              </w:rPr>
              <w:t>以及</w:t>
            </w:r>
            <w:r>
              <w:rPr>
                <w:rFonts w:ascii="仿宋_GB2312" w:hAnsi="仿宋" w:eastAsia="仿宋_GB2312"/>
                <w:color w:val="000000"/>
                <w:szCs w:val="21"/>
              </w:rPr>
              <w:t>经费</w:t>
            </w:r>
            <w:r>
              <w:rPr>
                <w:rFonts w:hint="eastAsia" w:ascii="仿宋_GB2312" w:hAnsi="仿宋" w:eastAsia="仿宋_GB2312"/>
                <w:color w:val="000000"/>
                <w:szCs w:val="21"/>
              </w:rPr>
              <w:t>支持，计1分。</w:t>
            </w:r>
          </w:p>
          <w:p>
            <w:pPr>
              <w:adjustRightInd w:val="0"/>
              <w:snapToGrid w:val="0"/>
              <w:spacing w:line="300" w:lineRule="exact"/>
              <w:ind w:firstLine="420"/>
              <w:rPr>
                <w:rFonts w:ascii="仿宋_GB2312" w:hAnsi="仿宋" w:eastAsia="仿宋_GB2312"/>
                <w:color w:val="000000"/>
                <w:szCs w:val="21"/>
              </w:rPr>
            </w:pPr>
            <w:r>
              <w:rPr>
                <w:rFonts w:hint="eastAsia" w:ascii="仿宋_GB2312" w:hAnsi="仿宋" w:eastAsia="仿宋_GB2312"/>
                <w:color w:val="000000"/>
                <w:szCs w:val="21"/>
              </w:rPr>
              <w:t>基层组织建设：学院团委、班级团支部认真落实“三会两制一课”制度，计2分；构建“一心双环”团学组织格局，计1分；每3年按照程序</w:t>
            </w:r>
            <w:r>
              <w:rPr>
                <w:rFonts w:ascii="仿宋_GB2312" w:hAnsi="仿宋" w:eastAsia="仿宋_GB2312"/>
                <w:color w:val="000000"/>
                <w:szCs w:val="21"/>
              </w:rPr>
              <w:t>召开</w:t>
            </w:r>
            <w:r>
              <w:rPr>
                <w:rFonts w:hint="eastAsia" w:ascii="仿宋_GB2312" w:hAnsi="仿宋" w:eastAsia="仿宋_GB2312"/>
                <w:color w:val="000000"/>
                <w:szCs w:val="21"/>
              </w:rPr>
              <w:t>一次学院团员代表大会，非团学干部的团员学生和青年教职工的代表比例不低于</w:t>
            </w:r>
            <w:r>
              <w:rPr>
                <w:rFonts w:ascii="仿宋_GB2312" w:hAnsi="仿宋" w:eastAsia="仿宋_GB2312"/>
                <w:color w:val="000000"/>
                <w:szCs w:val="21"/>
              </w:rPr>
              <w:t>70%</w:t>
            </w:r>
            <w:r>
              <w:rPr>
                <w:rFonts w:hint="eastAsia" w:ascii="仿宋_GB2312" w:hAnsi="仿宋" w:eastAsia="仿宋_GB2312"/>
                <w:color w:val="000000"/>
                <w:szCs w:val="21"/>
              </w:rPr>
              <w:t>，计1分；每</w:t>
            </w:r>
            <w:r>
              <w:rPr>
                <w:rFonts w:ascii="仿宋_GB2312" w:hAnsi="仿宋" w:eastAsia="仿宋_GB2312"/>
                <w:color w:val="000000"/>
                <w:szCs w:val="21"/>
              </w:rPr>
              <w:t>年按照程序召开一次</w:t>
            </w:r>
            <w:r>
              <w:rPr>
                <w:rFonts w:hint="eastAsia" w:ascii="仿宋_GB2312" w:hAnsi="仿宋" w:eastAsia="仿宋_GB2312"/>
                <w:color w:val="000000"/>
                <w:szCs w:val="21"/>
              </w:rPr>
              <w:t>学院学生代表大会、研究生代表大会，计1分；加强团员先进性</w:t>
            </w:r>
            <w:r>
              <w:rPr>
                <w:rFonts w:ascii="仿宋_GB2312" w:hAnsi="仿宋" w:eastAsia="仿宋_GB2312"/>
                <w:color w:val="000000"/>
                <w:szCs w:val="21"/>
              </w:rPr>
              <w:t>教育</w:t>
            </w:r>
            <w:r>
              <w:rPr>
                <w:rFonts w:hint="eastAsia" w:ascii="仿宋_GB2312" w:hAnsi="仿宋" w:eastAsia="仿宋_GB2312"/>
                <w:color w:val="000000"/>
                <w:szCs w:val="21"/>
              </w:rPr>
              <w:t>，实行</w:t>
            </w:r>
            <w:r>
              <w:rPr>
                <w:rFonts w:ascii="仿宋_GB2312" w:hAnsi="仿宋" w:eastAsia="仿宋_GB2312"/>
                <w:color w:val="000000"/>
                <w:szCs w:val="21"/>
              </w:rPr>
              <w:t>团员教育评议制度。</w:t>
            </w:r>
            <w:r>
              <w:rPr>
                <w:rFonts w:hint="eastAsia" w:ascii="仿宋_GB2312" w:hAnsi="仿宋" w:eastAsia="仿宋_GB2312"/>
                <w:color w:val="000000"/>
                <w:szCs w:val="21"/>
              </w:rPr>
              <w:t>每个团支部每个季度</w:t>
            </w:r>
            <w:r>
              <w:rPr>
                <w:rFonts w:ascii="仿宋_GB2312" w:hAnsi="仿宋" w:eastAsia="仿宋_GB2312"/>
                <w:color w:val="000000"/>
                <w:szCs w:val="21"/>
              </w:rPr>
              <w:t>至少</w:t>
            </w:r>
            <w:r>
              <w:rPr>
                <w:rFonts w:hint="eastAsia" w:ascii="仿宋_GB2312" w:hAnsi="仿宋" w:eastAsia="仿宋_GB2312"/>
                <w:color w:val="000000"/>
                <w:szCs w:val="21"/>
              </w:rPr>
              <w:t>上</w:t>
            </w:r>
            <w:r>
              <w:rPr>
                <w:rFonts w:ascii="仿宋_GB2312" w:hAnsi="仿宋" w:eastAsia="仿宋_GB2312"/>
                <w:color w:val="000000"/>
                <w:szCs w:val="21"/>
              </w:rPr>
              <w:t>一次</w:t>
            </w:r>
            <w:r>
              <w:rPr>
                <w:rFonts w:hint="eastAsia" w:ascii="仿宋_GB2312" w:hAnsi="仿宋" w:eastAsia="仿宋_GB2312"/>
                <w:color w:val="000000"/>
                <w:szCs w:val="21"/>
              </w:rPr>
              <w:t>团课，计1分；全体</w:t>
            </w:r>
            <w:r>
              <w:rPr>
                <w:rFonts w:ascii="仿宋_GB2312" w:hAnsi="仿宋" w:eastAsia="仿宋_GB2312"/>
                <w:color w:val="000000"/>
                <w:szCs w:val="21"/>
              </w:rPr>
              <w:t>团员注册成为志愿者</w:t>
            </w:r>
            <w:r>
              <w:rPr>
                <w:rFonts w:hint="eastAsia" w:ascii="仿宋_GB2312" w:hAnsi="仿宋" w:eastAsia="仿宋_GB2312"/>
                <w:color w:val="000000"/>
                <w:szCs w:val="21"/>
              </w:rPr>
              <w:t>，计1分；学生社团实行学期</w:t>
            </w:r>
            <w:r>
              <w:rPr>
                <w:rFonts w:ascii="仿宋_GB2312" w:hAnsi="仿宋" w:eastAsia="仿宋_GB2312"/>
                <w:color w:val="000000"/>
                <w:szCs w:val="21"/>
              </w:rPr>
              <w:t>注册制度</w:t>
            </w:r>
            <w:r>
              <w:rPr>
                <w:rFonts w:hint="eastAsia" w:ascii="仿宋_GB2312" w:hAnsi="仿宋" w:eastAsia="仿宋_GB2312"/>
                <w:color w:val="000000"/>
                <w:szCs w:val="21"/>
              </w:rPr>
              <w:t>，</w:t>
            </w:r>
            <w:r>
              <w:rPr>
                <w:rFonts w:ascii="仿宋_GB2312" w:hAnsi="仿宋" w:eastAsia="仿宋_GB2312"/>
                <w:color w:val="000000"/>
                <w:szCs w:val="21"/>
              </w:rPr>
              <w:t>新成立组织实行申报和审批制度</w:t>
            </w:r>
            <w:r>
              <w:rPr>
                <w:rFonts w:hint="eastAsia" w:ascii="仿宋_GB2312" w:hAnsi="仿宋" w:eastAsia="仿宋_GB2312"/>
                <w:color w:val="000000"/>
                <w:szCs w:val="21"/>
              </w:rPr>
              <w:t>，计1分。</w:t>
            </w:r>
          </w:p>
          <w:p>
            <w:pPr>
              <w:adjustRightInd w:val="0"/>
              <w:snapToGrid w:val="0"/>
              <w:spacing w:line="300" w:lineRule="exact"/>
              <w:ind w:firstLine="420"/>
              <w:rPr>
                <w:rFonts w:ascii="仿宋_GB2312" w:hAnsi="仿宋" w:eastAsia="仿宋_GB2312"/>
                <w:color w:val="000000"/>
                <w:szCs w:val="21"/>
              </w:rPr>
            </w:pPr>
            <w:r>
              <w:rPr>
                <w:rFonts w:hint="eastAsia" w:ascii="仿宋_GB2312" w:hAnsi="仿宋" w:eastAsia="仿宋_GB2312"/>
                <w:color w:val="000000"/>
                <w:szCs w:val="21"/>
              </w:rPr>
              <w:t>团学干部队伍建设：按标准配备学院“专挂兼”相结合的团干部队伍，出台相应的考核办法，计2分；推荐优秀学生申报参加校团委</w:t>
            </w:r>
            <w:r>
              <w:rPr>
                <w:rFonts w:ascii="仿宋_GB2312" w:hAnsi="仿宋" w:eastAsia="仿宋_GB2312"/>
                <w:color w:val="000000"/>
                <w:szCs w:val="21"/>
              </w:rPr>
              <w:t>挂职、兼职岗位</w:t>
            </w:r>
            <w:r>
              <w:rPr>
                <w:rFonts w:hint="eastAsia" w:ascii="仿宋_GB2312" w:hAnsi="仿宋" w:eastAsia="仿宋_GB2312"/>
                <w:color w:val="000000"/>
                <w:szCs w:val="21"/>
              </w:rPr>
              <w:t>遴选，计2分。</w:t>
            </w:r>
          </w:p>
          <w:p>
            <w:pPr>
              <w:adjustRightInd w:val="0"/>
              <w:snapToGrid w:val="0"/>
              <w:spacing w:line="300" w:lineRule="exact"/>
              <w:ind w:firstLine="420"/>
              <w:rPr>
                <w:rFonts w:ascii="仿宋_GB2312" w:hAnsi="仿宋" w:eastAsia="仿宋_GB2312"/>
                <w:color w:val="000000"/>
                <w:szCs w:val="21"/>
              </w:rPr>
            </w:pPr>
            <w:r>
              <w:rPr>
                <w:rFonts w:hint="eastAsia" w:ascii="仿宋_GB2312" w:hAnsi="仿宋" w:eastAsia="仿宋_GB2312"/>
                <w:color w:val="000000"/>
                <w:szCs w:val="21"/>
              </w:rPr>
              <w:t>以统计各方面得分进行排名，排名列第1-4名的学院计100分，列第5-8名的学院计90分，列第9-12名的学院计80分，列第13及以后的学院计70分。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719" w:type="dxa"/>
            <w:vMerge w:val="continue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  <w:tc>
          <w:tcPr>
            <w:tcW w:w="785" w:type="dxa"/>
            <w:vMerge w:val="continue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  <w:tc>
          <w:tcPr>
            <w:tcW w:w="786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仿宋_GB2312" w:eastAsia="仿宋_GB2312" w:cs="仿宋_GB2312"/>
                <w:b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  <w:t>思想引领</w:t>
            </w:r>
          </w:p>
        </w:tc>
        <w:tc>
          <w:tcPr>
            <w:tcW w:w="820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仿宋_GB2312" w:eastAsia="仿宋_GB2312" w:cs="仿宋_GB2312"/>
                <w:b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  <w:t>2</w:t>
            </w:r>
            <w:r>
              <w:rPr>
                <w:rFonts w:ascii="仿宋_GB2312" w:hAnsi="仿宋_GB2312" w:eastAsia="仿宋_GB2312" w:cs="仿宋_GB2312"/>
                <w:b/>
                <w:color w:val="000000"/>
                <w:szCs w:val="21"/>
              </w:rPr>
              <w:t>0%</w:t>
            </w:r>
          </w:p>
        </w:tc>
        <w:tc>
          <w:tcPr>
            <w:tcW w:w="5594" w:type="dxa"/>
            <w:vAlign w:val="center"/>
          </w:tcPr>
          <w:p>
            <w:pPr>
              <w:adjustRightInd w:val="0"/>
              <w:snapToGrid w:val="0"/>
              <w:spacing w:line="300" w:lineRule="exact"/>
              <w:ind w:firstLine="420"/>
              <w:rPr>
                <w:rFonts w:ascii="仿宋_GB2312" w:hAnsi="仿宋" w:eastAsia="仿宋_GB2312"/>
                <w:color w:val="000000"/>
                <w:szCs w:val="21"/>
              </w:rPr>
            </w:pPr>
            <w:r>
              <w:rPr>
                <w:rFonts w:hint="eastAsia" w:ascii="仿宋_GB2312" w:hAnsi="仿宋" w:eastAsia="仿宋_GB2312"/>
                <w:color w:val="000000"/>
                <w:szCs w:val="21"/>
              </w:rPr>
              <w:t>考核内容包括理想信念教育、利用新媒体手段开展思想引领工作、青马工程、文明寝室建设等四个方面。</w:t>
            </w:r>
          </w:p>
          <w:p>
            <w:pPr>
              <w:adjustRightInd w:val="0"/>
              <w:snapToGrid w:val="0"/>
              <w:spacing w:line="300" w:lineRule="exact"/>
              <w:ind w:firstLine="420"/>
              <w:rPr>
                <w:rFonts w:ascii="仿宋_GB2312" w:hAnsi="仿宋" w:eastAsia="仿宋_GB2312"/>
                <w:color w:val="000000"/>
                <w:szCs w:val="21"/>
              </w:rPr>
            </w:pPr>
            <w:r>
              <w:rPr>
                <w:rFonts w:hint="eastAsia" w:ascii="仿宋_GB2312" w:hAnsi="仿宋" w:eastAsia="仿宋_GB2312"/>
                <w:color w:val="000000"/>
                <w:szCs w:val="21"/>
              </w:rPr>
              <w:t>理想信念教育：</w:t>
            </w:r>
            <w:r>
              <w:rPr>
                <w:rFonts w:ascii="仿宋_GB2312" w:hAnsi="仿宋" w:eastAsia="仿宋_GB2312"/>
                <w:color w:val="000000"/>
                <w:szCs w:val="21"/>
              </w:rPr>
              <w:t>学院每年度至少开展一次“</w:t>
            </w:r>
            <w:r>
              <w:rPr>
                <w:rFonts w:hint="eastAsia" w:ascii="仿宋_GB2312" w:hAnsi="仿宋" w:eastAsia="仿宋_GB2312"/>
                <w:color w:val="000000"/>
                <w:szCs w:val="21"/>
              </w:rPr>
              <w:t>与信仰</w:t>
            </w:r>
            <w:r>
              <w:rPr>
                <w:rFonts w:ascii="仿宋_GB2312" w:hAnsi="仿宋" w:eastAsia="仿宋_GB2312"/>
                <w:color w:val="000000"/>
                <w:szCs w:val="21"/>
              </w:rPr>
              <w:t>对话”</w:t>
            </w:r>
            <w:r>
              <w:rPr>
                <w:rFonts w:hint="eastAsia" w:ascii="仿宋_GB2312" w:hAnsi="仿宋" w:eastAsia="仿宋_GB2312"/>
                <w:color w:val="000000"/>
                <w:szCs w:val="21"/>
              </w:rPr>
              <w:t>主题报告会，计1分；每个团支部</w:t>
            </w:r>
            <w:r>
              <w:rPr>
                <w:rFonts w:ascii="仿宋_GB2312" w:hAnsi="仿宋" w:eastAsia="仿宋_GB2312"/>
                <w:color w:val="000000"/>
                <w:szCs w:val="21"/>
              </w:rPr>
              <w:t>每学期至少举办</w:t>
            </w:r>
            <w:r>
              <w:rPr>
                <w:rFonts w:hint="eastAsia" w:ascii="仿宋_GB2312" w:hAnsi="仿宋" w:eastAsia="仿宋_GB2312"/>
                <w:color w:val="000000"/>
                <w:szCs w:val="21"/>
              </w:rPr>
              <w:t>1次以</w:t>
            </w:r>
            <w:r>
              <w:rPr>
                <w:rFonts w:ascii="仿宋_GB2312" w:hAnsi="仿宋" w:eastAsia="仿宋_GB2312"/>
                <w:color w:val="000000"/>
                <w:szCs w:val="21"/>
              </w:rPr>
              <w:t>学习习近平</w:t>
            </w:r>
            <w:r>
              <w:rPr>
                <w:rFonts w:hint="eastAsia" w:ascii="仿宋_GB2312" w:hAnsi="仿宋" w:eastAsia="仿宋_GB2312"/>
                <w:color w:val="000000"/>
                <w:szCs w:val="21"/>
              </w:rPr>
              <w:t>新时代中国特色社会主义思想</w:t>
            </w:r>
            <w:r>
              <w:rPr>
                <w:rFonts w:ascii="仿宋_GB2312" w:hAnsi="仿宋" w:eastAsia="仿宋_GB2312"/>
                <w:color w:val="000000"/>
                <w:szCs w:val="21"/>
              </w:rPr>
              <w:t>为主的团日活动</w:t>
            </w:r>
            <w:r>
              <w:rPr>
                <w:rFonts w:hint="eastAsia" w:ascii="仿宋_GB2312" w:hAnsi="仿宋" w:eastAsia="仿宋_GB2312"/>
                <w:color w:val="000000"/>
                <w:szCs w:val="21"/>
              </w:rPr>
              <w:t>，计1分；积极</w:t>
            </w:r>
            <w:r>
              <w:rPr>
                <w:rFonts w:ascii="仿宋_GB2312" w:hAnsi="仿宋" w:eastAsia="仿宋_GB2312"/>
                <w:color w:val="000000"/>
                <w:szCs w:val="21"/>
              </w:rPr>
              <w:t>建设理论</w:t>
            </w:r>
            <w:r>
              <w:rPr>
                <w:rFonts w:hint="eastAsia" w:ascii="仿宋_GB2312" w:hAnsi="仿宋" w:eastAsia="仿宋_GB2312"/>
                <w:color w:val="000000"/>
                <w:szCs w:val="21"/>
              </w:rPr>
              <w:t>性</w:t>
            </w:r>
            <w:r>
              <w:rPr>
                <w:rFonts w:ascii="仿宋_GB2312" w:hAnsi="仿宋" w:eastAsia="仿宋_GB2312"/>
                <w:color w:val="000000"/>
                <w:szCs w:val="21"/>
              </w:rPr>
              <w:t>社团</w:t>
            </w:r>
            <w:r>
              <w:rPr>
                <w:rFonts w:hint="eastAsia" w:ascii="仿宋_GB2312" w:hAnsi="仿宋" w:eastAsia="仿宋_GB2312"/>
                <w:color w:val="000000"/>
                <w:szCs w:val="21"/>
              </w:rPr>
              <w:t>，每学期至少开展一次院级理论学习活动，计1分；共青团工作覆盖青年教职工群体，建立固定交流平台，每学期至少开展一次活动，计1分。</w:t>
            </w:r>
          </w:p>
          <w:p>
            <w:pPr>
              <w:adjustRightInd w:val="0"/>
              <w:snapToGrid w:val="0"/>
              <w:spacing w:line="300" w:lineRule="exact"/>
              <w:ind w:firstLine="420"/>
              <w:rPr>
                <w:rFonts w:ascii="仿宋_GB2312" w:hAnsi="仿宋" w:eastAsia="仿宋_GB2312"/>
                <w:color w:val="000000"/>
                <w:szCs w:val="21"/>
              </w:rPr>
            </w:pPr>
            <w:r>
              <w:rPr>
                <w:rFonts w:hint="eastAsia" w:ascii="仿宋_GB2312" w:hAnsi="仿宋" w:eastAsia="仿宋_GB2312"/>
                <w:color w:val="000000"/>
                <w:szCs w:val="21"/>
              </w:rPr>
              <w:t>利用新媒体手段开展思想引领工作：建立健全院级团学组织官方微信或微博体系，平台关注度高，每学期组织不少于</w:t>
            </w:r>
            <w:r>
              <w:rPr>
                <w:rFonts w:ascii="仿宋_GB2312" w:hAnsi="仿宋" w:eastAsia="仿宋_GB2312"/>
                <w:color w:val="000000"/>
                <w:szCs w:val="21"/>
              </w:rPr>
              <w:t>2</w:t>
            </w:r>
            <w:r>
              <w:rPr>
                <w:rFonts w:hint="eastAsia" w:ascii="仿宋_GB2312" w:hAnsi="仿宋" w:eastAsia="仿宋_GB2312"/>
                <w:color w:val="000000"/>
                <w:szCs w:val="21"/>
              </w:rPr>
              <w:t>次线上活动，计1分；招募网宣员</w:t>
            </w:r>
            <w:r>
              <w:rPr>
                <w:rFonts w:ascii="仿宋_GB2312" w:hAnsi="仿宋" w:eastAsia="仿宋_GB2312"/>
                <w:color w:val="000000"/>
                <w:szCs w:val="21"/>
              </w:rPr>
              <w:t>、</w:t>
            </w:r>
            <w:r>
              <w:rPr>
                <w:rFonts w:hint="eastAsia" w:ascii="仿宋_GB2312" w:hAnsi="仿宋" w:eastAsia="仿宋_GB2312"/>
                <w:color w:val="000000"/>
                <w:szCs w:val="21"/>
              </w:rPr>
              <w:t>微记者、网络</w:t>
            </w:r>
            <w:r>
              <w:rPr>
                <w:rFonts w:ascii="仿宋_GB2312" w:hAnsi="仿宋" w:eastAsia="仿宋_GB2312"/>
                <w:color w:val="000000"/>
                <w:szCs w:val="21"/>
              </w:rPr>
              <w:t>文明</w:t>
            </w:r>
            <w:r>
              <w:rPr>
                <w:rFonts w:hint="eastAsia" w:ascii="仿宋_GB2312" w:hAnsi="仿宋" w:eastAsia="仿宋_GB2312"/>
                <w:color w:val="000000"/>
                <w:szCs w:val="21"/>
              </w:rPr>
              <w:t>志愿者（志愿者不低于学院学生总数的2</w:t>
            </w:r>
            <w:r>
              <w:rPr>
                <w:rFonts w:ascii="仿宋_GB2312" w:hAnsi="仿宋" w:eastAsia="仿宋_GB2312"/>
                <w:color w:val="000000"/>
                <w:szCs w:val="21"/>
              </w:rPr>
              <w:t>0</w:t>
            </w:r>
            <w:r>
              <w:rPr>
                <w:rFonts w:hint="eastAsia" w:ascii="仿宋_GB2312" w:hAnsi="仿宋" w:eastAsia="仿宋_GB2312"/>
                <w:color w:val="000000"/>
                <w:szCs w:val="21"/>
              </w:rPr>
              <w:t>%），积极参与集中发声活动，计2分；每学期至少向校团委上传、报送共青团</w:t>
            </w:r>
            <w:r>
              <w:rPr>
                <w:rFonts w:ascii="仿宋_GB2312" w:hAnsi="仿宋" w:eastAsia="仿宋_GB2312"/>
                <w:color w:val="000000"/>
                <w:szCs w:val="21"/>
              </w:rPr>
              <w:t>工作相关信息</w:t>
            </w:r>
            <w:r>
              <w:rPr>
                <w:rFonts w:hint="eastAsia" w:ascii="仿宋_GB2312" w:hAnsi="仿宋" w:eastAsia="仿宋_GB2312"/>
                <w:color w:val="000000"/>
                <w:szCs w:val="21"/>
              </w:rPr>
              <w:t>3篇，计1分；</w:t>
            </w:r>
          </w:p>
          <w:p>
            <w:pPr>
              <w:adjustRightInd w:val="0"/>
              <w:snapToGrid w:val="0"/>
              <w:spacing w:line="300" w:lineRule="exact"/>
              <w:ind w:firstLine="420"/>
              <w:rPr>
                <w:rFonts w:ascii="仿宋_GB2312" w:hAnsi="仿宋" w:eastAsia="仿宋_GB2312"/>
                <w:color w:val="000000"/>
                <w:szCs w:val="21"/>
              </w:rPr>
            </w:pPr>
            <w:r>
              <w:rPr>
                <w:rFonts w:hint="eastAsia" w:ascii="仿宋_GB2312" w:hAnsi="仿宋" w:eastAsia="仿宋_GB2312"/>
                <w:color w:val="000000"/>
                <w:szCs w:val="21"/>
              </w:rPr>
              <w:t>青马工程：积极推荐</w:t>
            </w:r>
            <w:r>
              <w:rPr>
                <w:rFonts w:ascii="仿宋_GB2312" w:hAnsi="仿宋" w:eastAsia="仿宋_GB2312"/>
                <w:color w:val="000000"/>
                <w:szCs w:val="21"/>
              </w:rPr>
              <w:t>学院</w:t>
            </w:r>
            <w:r>
              <w:rPr>
                <w:rFonts w:hint="eastAsia" w:ascii="仿宋_GB2312" w:hAnsi="仿宋" w:eastAsia="仿宋_GB2312"/>
                <w:color w:val="000000"/>
                <w:szCs w:val="21"/>
              </w:rPr>
              <w:t>优秀</w:t>
            </w:r>
            <w:r>
              <w:rPr>
                <w:rFonts w:ascii="仿宋_GB2312" w:hAnsi="仿宋" w:eastAsia="仿宋_GB2312"/>
                <w:color w:val="000000"/>
                <w:szCs w:val="21"/>
              </w:rPr>
              <w:t>学生参选</w:t>
            </w:r>
            <w:r>
              <w:rPr>
                <w:rFonts w:hint="eastAsia" w:ascii="仿宋_GB2312" w:hAnsi="仿宋" w:eastAsia="仿宋_GB2312"/>
                <w:color w:val="000000"/>
                <w:szCs w:val="21"/>
              </w:rPr>
              <w:t>学校</w:t>
            </w:r>
            <w:r>
              <w:rPr>
                <w:rFonts w:ascii="仿宋_GB2312" w:hAnsi="仿宋" w:eastAsia="仿宋_GB2312"/>
                <w:color w:val="000000"/>
                <w:szCs w:val="21"/>
              </w:rPr>
              <w:t>青峰人才学院学员</w:t>
            </w:r>
            <w:r>
              <w:rPr>
                <w:rFonts w:hint="eastAsia" w:ascii="仿宋_GB2312" w:hAnsi="仿宋" w:eastAsia="仿宋_GB2312"/>
                <w:color w:val="000000"/>
                <w:szCs w:val="21"/>
              </w:rPr>
              <w:t>选拔，计1分；开展学院青马工程项目，制定、实施培养计划，计2分。</w:t>
            </w:r>
          </w:p>
          <w:p>
            <w:pPr>
              <w:adjustRightInd w:val="0"/>
              <w:snapToGrid w:val="0"/>
              <w:spacing w:line="300" w:lineRule="exact"/>
              <w:ind w:firstLine="420"/>
              <w:rPr>
                <w:rFonts w:ascii="仿宋_GB2312" w:hAnsi="仿宋" w:eastAsia="仿宋_GB2312"/>
                <w:color w:val="000000"/>
                <w:szCs w:val="21"/>
              </w:rPr>
            </w:pPr>
            <w:r>
              <w:rPr>
                <w:rFonts w:hint="eastAsia" w:ascii="仿宋_GB2312" w:hAnsi="仿宋" w:eastAsia="仿宋_GB2312"/>
                <w:color w:val="000000"/>
                <w:szCs w:val="21"/>
              </w:rPr>
              <w:t>文明寝室建设活动：每学期至少开展1次以文明寝室建设为主题的社区文化活动，计1分。</w:t>
            </w:r>
          </w:p>
          <w:p>
            <w:pPr>
              <w:adjustRightInd w:val="0"/>
              <w:snapToGrid w:val="0"/>
              <w:ind w:firstLine="420"/>
              <w:rPr>
                <w:rFonts w:ascii="仿宋_GB2312" w:hAnsi="仿宋" w:eastAsia="仿宋_GB2312"/>
                <w:color w:val="000000"/>
                <w:szCs w:val="21"/>
              </w:rPr>
            </w:pPr>
            <w:r>
              <w:rPr>
                <w:rFonts w:hint="eastAsia" w:ascii="仿宋_GB2312" w:hAnsi="仿宋" w:eastAsia="仿宋_GB2312"/>
                <w:color w:val="000000"/>
                <w:szCs w:val="21"/>
              </w:rPr>
              <w:t>以统计各方面得分进行排名，排名列第1-4名的学院计100分，列第5-8名的学院计90分，列第9-12名的学院计80分，列第13及以后的学院计70分。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719" w:type="dxa"/>
            <w:vMerge w:val="continue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  <w:tc>
          <w:tcPr>
            <w:tcW w:w="785" w:type="dxa"/>
            <w:vMerge w:val="continue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  <w:tc>
          <w:tcPr>
            <w:tcW w:w="786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仿宋_GB2312" w:eastAsia="仿宋_GB2312" w:cs="仿宋_GB2312"/>
                <w:b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  <w:t>服务成长成才</w:t>
            </w:r>
          </w:p>
        </w:tc>
        <w:tc>
          <w:tcPr>
            <w:tcW w:w="820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仿宋_GB2312" w:eastAsia="仿宋_GB2312" w:cs="仿宋_GB2312"/>
                <w:b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  <w:t>3</w:t>
            </w:r>
            <w:r>
              <w:rPr>
                <w:rFonts w:ascii="仿宋_GB2312" w:hAnsi="仿宋_GB2312" w:eastAsia="仿宋_GB2312" w:cs="仿宋_GB2312"/>
                <w:b/>
                <w:color w:val="000000"/>
                <w:szCs w:val="21"/>
              </w:rPr>
              <w:t>0%</w:t>
            </w:r>
          </w:p>
        </w:tc>
        <w:tc>
          <w:tcPr>
            <w:tcW w:w="5594" w:type="dxa"/>
            <w:vAlign w:val="center"/>
          </w:tcPr>
          <w:p>
            <w:pPr>
              <w:adjustRightInd w:val="0"/>
              <w:snapToGrid w:val="0"/>
              <w:spacing w:line="300" w:lineRule="exact"/>
              <w:ind w:firstLine="420"/>
              <w:rPr>
                <w:rFonts w:ascii="仿宋_GB2312" w:hAnsi="仿宋" w:eastAsia="仿宋_GB2312"/>
                <w:color w:val="000000"/>
                <w:szCs w:val="21"/>
              </w:rPr>
            </w:pPr>
            <w:r>
              <w:rPr>
                <w:rFonts w:hint="eastAsia" w:ascii="仿宋_GB2312" w:hAnsi="仿宋" w:eastAsia="仿宋_GB2312"/>
                <w:color w:val="000000"/>
                <w:szCs w:val="21"/>
              </w:rPr>
              <w:t>考核内容包括学生科技创新、社会实践、志愿服务、学生文艺四个方面。</w:t>
            </w:r>
          </w:p>
          <w:p>
            <w:pPr>
              <w:adjustRightInd w:val="0"/>
              <w:snapToGrid w:val="0"/>
              <w:spacing w:line="300" w:lineRule="exact"/>
              <w:ind w:firstLine="420"/>
              <w:rPr>
                <w:rFonts w:ascii="仿宋_GB2312" w:hAnsi="仿宋" w:eastAsia="仿宋_GB2312"/>
                <w:color w:val="000000"/>
                <w:szCs w:val="21"/>
              </w:rPr>
            </w:pPr>
            <w:r>
              <w:rPr>
                <w:rFonts w:hint="eastAsia" w:ascii="仿宋_GB2312" w:hAnsi="仿宋" w:eastAsia="仿宋_GB2312"/>
                <w:color w:val="000000"/>
                <w:szCs w:val="21"/>
              </w:rPr>
              <w:t>学生科技创新：积极开展</w:t>
            </w:r>
            <w:r>
              <w:rPr>
                <w:rFonts w:ascii="仿宋_GB2312" w:hAnsi="仿宋" w:eastAsia="仿宋_GB2312"/>
                <w:color w:val="000000"/>
                <w:szCs w:val="21"/>
              </w:rPr>
              <w:t>新苗人才计划</w:t>
            </w:r>
            <w:r>
              <w:rPr>
                <w:rFonts w:hint="eastAsia" w:ascii="仿宋_GB2312" w:hAnsi="仿宋" w:eastAsia="仿宋_GB2312"/>
                <w:color w:val="000000"/>
                <w:szCs w:val="21"/>
              </w:rPr>
              <w:t>申报</w:t>
            </w:r>
            <w:r>
              <w:rPr>
                <w:rFonts w:ascii="仿宋_GB2312" w:hAnsi="仿宋" w:eastAsia="仿宋_GB2312"/>
                <w:color w:val="000000"/>
                <w:szCs w:val="21"/>
              </w:rPr>
              <w:t>与立项</w:t>
            </w:r>
            <w:r>
              <w:rPr>
                <w:rFonts w:hint="eastAsia" w:ascii="仿宋_GB2312" w:hAnsi="仿宋" w:eastAsia="仿宋_GB2312"/>
                <w:color w:val="000000"/>
                <w:szCs w:val="21"/>
              </w:rPr>
              <w:t>工作</w:t>
            </w:r>
            <w:r>
              <w:rPr>
                <w:rFonts w:ascii="仿宋_GB2312" w:hAnsi="仿宋" w:eastAsia="仿宋_GB2312"/>
                <w:color w:val="000000"/>
                <w:szCs w:val="21"/>
              </w:rPr>
              <w:t>，</w:t>
            </w:r>
            <w:r>
              <w:rPr>
                <w:rFonts w:hint="eastAsia" w:ascii="仿宋_GB2312" w:hAnsi="仿宋" w:eastAsia="仿宋_GB2312"/>
                <w:color w:val="000000"/>
                <w:szCs w:val="21"/>
              </w:rPr>
              <w:t>100%按时</w:t>
            </w:r>
            <w:r>
              <w:rPr>
                <w:rFonts w:ascii="仿宋_GB2312" w:hAnsi="仿宋" w:eastAsia="仿宋_GB2312"/>
                <w:color w:val="000000"/>
                <w:szCs w:val="21"/>
              </w:rPr>
              <w:t>完成中期检查及结题工作</w:t>
            </w:r>
            <w:r>
              <w:rPr>
                <w:rFonts w:hint="eastAsia" w:ascii="仿宋_GB2312" w:hAnsi="仿宋" w:eastAsia="仿宋_GB2312"/>
                <w:color w:val="000000"/>
                <w:szCs w:val="21"/>
              </w:rPr>
              <w:t>，计2分；积极做好学院</w:t>
            </w:r>
            <w:r>
              <w:rPr>
                <w:rFonts w:ascii="仿宋_GB2312" w:hAnsi="仿宋" w:eastAsia="仿宋_GB2312"/>
                <w:color w:val="000000"/>
                <w:szCs w:val="21"/>
              </w:rPr>
              <w:t>学生科技培训</w:t>
            </w:r>
            <w:r>
              <w:rPr>
                <w:rFonts w:hint="eastAsia" w:ascii="仿宋_GB2312" w:hAnsi="仿宋" w:eastAsia="仿宋_GB2312"/>
                <w:color w:val="000000"/>
                <w:szCs w:val="21"/>
              </w:rPr>
              <w:t>教育</w:t>
            </w:r>
            <w:r>
              <w:rPr>
                <w:rFonts w:ascii="仿宋_GB2312" w:hAnsi="仿宋" w:eastAsia="仿宋_GB2312"/>
                <w:color w:val="000000"/>
                <w:szCs w:val="21"/>
              </w:rPr>
              <w:t>工作，</w:t>
            </w:r>
            <w:r>
              <w:rPr>
                <w:rFonts w:hint="eastAsia" w:ascii="仿宋_GB2312" w:hAnsi="仿宋" w:eastAsia="仿宋_GB2312"/>
                <w:color w:val="000000"/>
                <w:szCs w:val="21"/>
              </w:rPr>
              <w:t>积极开展学生创新创业教育活动，每学期不少于3场，计2分。</w:t>
            </w:r>
          </w:p>
          <w:p>
            <w:pPr>
              <w:adjustRightInd w:val="0"/>
              <w:snapToGrid w:val="0"/>
              <w:spacing w:line="300" w:lineRule="exact"/>
              <w:ind w:firstLine="420"/>
              <w:rPr>
                <w:rFonts w:ascii="仿宋_GB2312" w:hAnsi="仿宋" w:eastAsia="仿宋_GB2312"/>
                <w:color w:val="000000"/>
                <w:szCs w:val="21"/>
              </w:rPr>
            </w:pPr>
            <w:r>
              <w:rPr>
                <w:rFonts w:hint="eastAsia" w:ascii="仿宋_GB2312" w:hAnsi="仿宋" w:eastAsia="仿宋_GB2312"/>
                <w:color w:val="000000"/>
                <w:szCs w:val="21"/>
              </w:rPr>
              <w:t>社会实践：组织学生参加校团委寒暑期社会实践活动，其中暑期实践活动学生参与率在60%以上，计2分；学院建设长期固定的实践基地，计2分；暑期实践总结分享交流活动覆盖学院所有新生班级，计2分。</w:t>
            </w:r>
          </w:p>
          <w:p>
            <w:pPr>
              <w:adjustRightInd w:val="0"/>
              <w:snapToGrid w:val="0"/>
              <w:spacing w:line="300" w:lineRule="exact"/>
              <w:ind w:firstLine="420"/>
              <w:rPr>
                <w:rFonts w:ascii="仿宋_GB2312" w:hAnsi="仿宋" w:eastAsia="仿宋_GB2312"/>
                <w:color w:val="000000"/>
                <w:szCs w:val="21"/>
              </w:rPr>
            </w:pPr>
            <w:r>
              <w:rPr>
                <w:rFonts w:hint="eastAsia" w:ascii="仿宋_GB2312" w:hAnsi="仿宋" w:eastAsia="仿宋_GB2312"/>
                <w:color w:val="000000"/>
                <w:szCs w:val="21"/>
              </w:rPr>
              <w:t>志愿服务：</w:t>
            </w:r>
            <w:r>
              <w:rPr>
                <w:rFonts w:ascii="仿宋_GB2312" w:hAnsi="仿宋" w:eastAsia="仿宋_GB2312"/>
                <w:color w:val="000000"/>
                <w:szCs w:val="21"/>
              </w:rPr>
              <w:t>志愿者管理</w:t>
            </w:r>
            <w:r>
              <w:rPr>
                <w:rFonts w:hint="eastAsia" w:ascii="仿宋_GB2312" w:hAnsi="仿宋" w:eastAsia="仿宋_GB2312"/>
                <w:color w:val="000000"/>
                <w:szCs w:val="21"/>
              </w:rPr>
              <w:t>规范，使用志愿汇，积极塑造星级</w:t>
            </w:r>
            <w:r>
              <w:rPr>
                <w:rFonts w:ascii="仿宋_GB2312" w:hAnsi="仿宋" w:eastAsia="仿宋_GB2312"/>
                <w:color w:val="000000"/>
                <w:szCs w:val="21"/>
              </w:rPr>
              <w:t>志愿者</w:t>
            </w:r>
            <w:r>
              <w:rPr>
                <w:rFonts w:hint="eastAsia" w:ascii="仿宋_GB2312" w:hAnsi="仿宋" w:eastAsia="仿宋_GB2312"/>
                <w:color w:val="000000"/>
                <w:szCs w:val="21"/>
              </w:rPr>
              <w:t>，计1分；结合学院院特色，培育志愿服务</w:t>
            </w:r>
            <w:r>
              <w:rPr>
                <w:rFonts w:ascii="仿宋_GB2312" w:hAnsi="仿宋" w:eastAsia="仿宋_GB2312"/>
                <w:color w:val="000000"/>
                <w:szCs w:val="21"/>
              </w:rPr>
              <w:t>项目</w:t>
            </w:r>
            <w:r>
              <w:rPr>
                <w:rFonts w:hint="eastAsia" w:ascii="仿宋_GB2312" w:hAnsi="仿宋" w:eastAsia="仿宋_GB2312"/>
                <w:color w:val="000000"/>
                <w:szCs w:val="21"/>
              </w:rPr>
              <w:t>工作，每年不少于5个项目参加校级立项，计2分。</w:t>
            </w:r>
          </w:p>
          <w:p>
            <w:pPr>
              <w:adjustRightInd w:val="0"/>
              <w:snapToGrid w:val="0"/>
              <w:spacing w:line="300" w:lineRule="exact"/>
              <w:ind w:firstLine="420"/>
              <w:rPr>
                <w:rFonts w:ascii="仿宋_GB2312" w:hAnsi="仿宋" w:eastAsia="仿宋_GB2312"/>
                <w:color w:val="000000"/>
                <w:szCs w:val="21"/>
              </w:rPr>
            </w:pPr>
            <w:r>
              <w:rPr>
                <w:rFonts w:hint="eastAsia" w:ascii="仿宋_GB2312" w:hAnsi="仿宋" w:eastAsia="仿宋_GB2312"/>
                <w:color w:val="000000"/>
                <w:szCs w:val="21"/>
              </w:rPr>
              <w:t>学生文艺：</w:t>
            </w:r>
            <w:r>
              <w:rPr>
                <w:rFonts w:ascii="仿宋_GB2312" w:hAnsi="仿宋" w:eastAsia="仿宋_GB2312"/>
                <w:color w:val="000000"/>
                <w:szCs w:val="21"/>
              </w:rPr>
              <w:t>推荐优秀</w:t>
            </w:r>
            <w:r>
              <w:rPr>
                <w:rFonts w:hint="eastAsia" w:ascii="仿宋_GB2312" w:hAnsi="仿宋" w:eastAsia="仿宋_GB2312"/>
                <w:color w:val="000000"/>
                <w:szCs w:val="21"/>
              </w:rPr>
              <w:t>文艺</w:t>
            </w:r>
            <w:r>
              <w:rPr>
                <w:rFonts w:ascii="仿宋_GB2312" w:hAnsi="仿宋" w:eastAsia="仿宋_GB2312"/>
                <w:color w:val="000000"/>
                <w:szCs w:val="21"/>
              </w:rPr>
              <w:t>骨干</w:t>
            </w:r>
            <w:r>
              <w:rPr>
                <w:rFonts w:hint="eastAsia" w:ascii="仿宋_GB2312" w:hAnsi="仿宋" w:eastAsia="仿宋_GB2312"/>
                <w:color w:val="000000"/>
                <w:szCs w:val="21"/>
              </w:rPr>
              <w:t>参加</w:t>
            </w:r>
            <w:r>
              <w:rPr>
                <w:rFonts w:ascii="仿宋_GB2312" w:hAnsi="仿宋" w:eastAsia="仿宋_GB2312"/>
                <w:color w:val="000000"/>
                <w:szCs w:val="21"/>
              </w:rPr>
              <w:t>校大学生艺术团</w:t>
            </w:r>
            <w:r>
              <w:rPr>
                <w:rFonts w:hint="eastAsia" w:ascii="仿宋_GB2312" w:hAnsi="仿宋" w:eastAsia="仿宋_GB2312"/>
                <w:color w:val="000000"/>
                <w:szCs w:val="21"/>
              </w:rPr>
              <w:t>，入选艺术团比例不低于学院总人数的1%，计2分；每年至少组织开展一次文艺下乡演出活动,计2分。</w:t>
            </w:r>
          </w:p>
          <w:p>
            <w:pPr>
              <w:adjustRightInd w:val="0"/>
              <w:snapToGrid w:val="0"/>
              <w:ind w:firstLine="420"/>
              <w:rPr>
                <w:rFonts w:ascii="仿宋_GB2312" w:hAnsi="仿宋" w:eastAsia="仿宋_GB2312"/>
                <w:color w:val="000000"/>
                <w:szCs w:val="21"/>
              </w:rPr>
            </w:pPr>
            <w:r>
              <w:rPr>
                <w:rFonts w:hint="eastAsia" w:ascii="仿宋_GB2312" w:hAnsi="仿宋" w:eastAsia="仿宋_GB2312"/>
                <w:color w:val="000000"/>
                <w:szCs w:val="21"/>
              </w:rPr>
              <w:t>以统计各方面得分进行排名，排名列第1-4名的学院计100分，列第5-8名的学院计90分，列第9-12名的学院计80分，列第13及以后的学院计70分。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719" w:type="dxa"/>
            <w:vMerge w:val="continue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  <w:tc>
          <w:tcPr>
            <w:tcW w:w="785" w:type="dxa"/>
            <w:vMerge w:val="continue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  <w:tc>
          <w:tcPr>
            <w:tcW w:w="786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仿宋_GB2312" w:eastAsia="仿宋_GB2312" w:cs="仿宋_GB2312"/>
                <w:b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  <w:t>激励加分</w:t>
            </w:r>
          </w:p>
        </w:tc>
        <w:tc>
          <w:tcPr>
            <w:tcW w:w="820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仿宋_GB2312" w:eastAsia="仿宋_GB2312" w:cs="仿宋_GB2312"/>
                <w:b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  <w:t>2</w:t>
            </w:r>
            <w:r>
              <w:rPr>
                <w:rFonts w:ascii="仿宋_GB2312" w:hAnsi="仿宋_GB2312" w:eastAsia="仿宋_GB2312" w:cs="仿宋_GB2312"/>
                <w:b/>
                <w:color w:val="000000"/>
                <w:szCs w:val="21"/>
              </w:rPr>
              <w:t>0%</w:t>
            </w:r>
          </w:p>
        </w:tc>
        <w:tc>
          <w:tcPr>
            <w:tcW w:w="5594" w:type="dxa"/>
            <w:vAlign w:val="center"/>
          </w:tcPr>
          <w:p>
            <w:pPr>
              <w:adjustRightInd w:val="0"/>
              <w:snapToGrid w:val="0"/>
              <w:spacing w:line="300" w:lineRule="exact"/>
              <w:ind w:firstLine="420" w:firstLineChars="200"/>
              <w:rPr>
                <w:rFonts w:ascii="仿宋_GB2312" w:hAnsi="仿宋" w:eastAsia="仿宋_GB2312"/>
                <w:color w:val="000000"/>
                <w:szCs w:val="21"/>
              </w:rPr>
            </w:pPr>
            <w:r>
              <w:rPr>
                <w:rFonts w:hint="eastAsia" w:ascii="仿宋_GB2312" w:hAnsi="仿宋" w:eastAsia="仿宋_GB2312"/>
                <w:color w:val="000000"/>
                <w:szCs w:val="21"/>
              </w:rPr>
              <w:t>获省级及以上优秀社团荣誉，加2分；被评为校级十佳社团、十佳社团活动，每项加1分。</w:t>
            </w:r>
          </w:p>
          <w:p>
            <w:pPr>
              <w:adjustRightInd w:val="0"/>
              <w:snapToGrid w:val="0"/>
              <w:spacing w:line="300" w:lineRule="exact"/>
              <w:ind w:firstLine="420" w:firstLineChars="200"/>
              <w:rPr>
                <w:rFonts w:ascii="仿宋_GB2312" w:hAnsi="仿宋" w:eastAsia="仿宋_GB2312"/>
                <w:color w:val="000000"/>
                <w:szCs w:val="21"/>
              </w:rPr>
            </w:pPr>
            <w:r>
              <w:rPr>
                <w:rFonts w:hint="eastAsia" w:ascii="仿宋_GB2312" w:hAnsi="仿宋" w:eastAsia="仿宋_GB2312"/>
                <w:color w:val="000000"/>
                <w:szCs w:val="21"/>
              </w:rPr>
              <w:t>选派优秀团干部到团县委、团省委挂职锻炼，每人加2分。</w:t>
            </w:r>
          </w:p>
          <w:p>
            <w:pPr>
              <w:adjustRightInd w:val="0"/>
              <w:snapToGrid w:val="0"/>
              <w:spacing w:line="300" w:lineRule="exact"/>
              <w:ind w:firstLine="420" w:firstLineChars="200"/>
              <w:rPr>
                <w:rFonts w:ascii="仿宋_GB2312" w:hAnsi="仿宋" w:eastAsia="仿宋_GB2312"/>
                <w:color w:val="000000"/>
                <w:szCs w:val="21"/>
              </w:rPr>
            </w:pPr>
            <w:r>
              <w:rPr>
                <w:rFonts w:hint="eastAsia" w:ascii="仿宋_GB2312" w:hAnsi="仿宋" w:eastAsia="仿宋_GB2312"/>
                <w:color w:val="000000"/>
                <w:szCs w:val="21"/>
              </w:rPr>
              <w:t>获省级及以上基层组织或主题教育活动获奖，每项加2分。获校级十佳主题教育活动，每个加1分。</w:t>
            </w:r>
          </w:p>
          <w:p>
            <w:pPr>
              <w:adjustRightInd w:val="0"/>
              <w:snapToGrid w:val="0"/>
              <w:spacing w:line="300" w:lineRule="exact"/>
              <w:ind w:firstLine="420" w:firstLineChars="200"/>
              <w:rPr>
                <w:rFonts w:ascii="仿宋_GB2312" w:hAnsi="仿宋" w:eastAsia="仿宋_GB2312"/>
                <w:color w:val="000000"/>
                <w:szCs w:val="21"/>
              </w:rPr>
            </w:pPr>
            <w:r>
              <w:rPr>
                <w:rFonts w:hint="eastAsia" w:ascii="仿宋_GB2312" w:hAnsi="仿宋" w:eastAsia="仿宋_GB2312"/>
                <w:color w:val="000000"/>
                <w:szCs w:val="21"/>
              </w:rPr>
              <w:t>挑战杯系列竞赛获全国一等奖、特等奖或金奖，每项加5分，获二等奖或铜奖、银奖，每项加3分；获省级一等奖、特等奖或金奖，每项加3分，获二获奖或铜奖、银奖，每项加1分（挑战杯系列计分规则：获奖团队第一负责人得一个满分，其他成员按剩余人数平分一个满分）；获校级“希望杯”系列竞赛组织工作奖，每项加1分；本科生以第一作者发表核心期刊论文或专利授权，每篇加3分（上限为6分）。</w:t>
            </w:r>
          </w:p>
          <w:p>
            <w:pPr>
              <w:adjustRightInd w:val="0"/>
              <w:snapToGrid w:val="0"/>
              <w:spacing w:line="300" w:lineRule="exact"/>
              <w:ind w:firstLine="420" w:firstLineChars="200"/>
              <w:rPr>
                <w:rFonts w:ascii="仿宋_GB2312" w:hAnsi="仿宋" w:eastAsia="仿宋_GB2312"/>
                <w:color w:val="000000"/>
                <w:szCs w:val="21"/>
              </w:rPr>
            </w:pPr>
            <w:r>
              <w:rPr>
                <w:rFonts w:hint="eastAsia" w:ascii="仿宋_GB2312" w:hAnsi="仿宋" w:eastAsia="仿宋_GB2312"/>
                <w:color w:val="000000"/>
                <w:szCs w:val="21"/>
              </w:rPr>
              <w:t>获省级及以上社会实践优秀团队、实践基地，加2分；获校级暑期社会实践校级评比十佳团队、组织工作奖，每项加1分。获省级及以上志愿服务项目、集体和个人表彰，每项加3分；学院毕业生当年度入选省“两项计划”志愿者，每人加1分；“两项计划”志愿者获服务地表彰，每人每次加1分。</w:t>
            </w:r>
          </w:p>
          <w:p>
            <w:pPr>
              <w:adjustRightInd w:val="0"/>
              <w:snapToGrid w:val="0"/>
              <w:spacing w:line="300" w:lineRule="exact"/>
              <w:ind w:firstLine="420" w:firstLineChars="200"/>
              <w:rPr>
                <w:rFonts w:ascii="仿宋_GB2312" w:hAnsi="仿宋" w:eastAsia="仿宋_GB2312"/>
                <w:color w:val="000000"/>
                <w:szCs w:val="21"/>
              </w:rPr>
            </w:pPr>
            <w:r>
              <w:rPr>
                <w:rFonts w:hint="eastAsia" w:ascii="仿宋_GB2312" w:hAnsi="仿宋" w:eastAsia="仿宋_GB2312"/>
                <w:color w:val="000000"/>
                <w:szCs w:val="21"/>
              </w:rPr>
              <w:t>学院学生会、研究生会、志愿者服务队当年度考核优秀，各加1分。学院独立代表学校参加浙江省大中学生校园文化节，每次加2分。</w:t>
            </w:r>
          </w:p>
          <w:p>
            <w:pPr>
              <w:adjustRightInd w:val="0"/>
              <w:snapToGrid w:val="0"/>
              <w:spacing w:line="300" w:lineRule="exact"/>
              <w:ind w:firstLine="420" w:firstLineChars="200"/>
              <w:rPr>
                <w:rFonts w:ascii="仿宋_GB2312" w:hAnsi="仿宋" w:eastAsia="仿宋_GB2312"/>
                <w:color w:val="000000"/>
                <w:szCs w:val="21"/>
              </w:rPr>
            </w:pPr>
            <w:r>
              <w:rPr>
                <w:rFonts w:hint="eastAsia" w:ascii="仿宋_GB2312" w:hAnsi="仿宋" w:eastAsia="仿宋_GB2312"/>
                <w:color w:val="000000"/>
                <w:szCs w:val="21"/>
              </w:rPr>
              <w:t>大学生艺术展演获全国一等奖，加8分，获全国二等奖、三等奖，加4分；获省级一等奖，加4分，获省级二等奖、三等奖，加1分。省委宣传部、团省委、文化厅组织的其他艺术比赛获一等奖，加3分，获二等奖，加2分，获三等奖，加1分（校外学生文艺竞赛计分规则：校艺术团组织的团体节目获奖，团队所有成员平分一个满分；学院组织的团体节目获奖，学院获得满分；个人节目获奖，减半计入学院得分；非校团委组织实施的比赛，需提供获奖证明）。校级文艺汇演比赛获一等奖，加1分。</w:t>
            </w:r>
          </w:p>
          <w:p>
            <w:pPr>
              <w:adjustRightInd w:val="0"/>
              <w:snapToGrid w:val="0"/>
              <w:spacing w:line="300" w:lineRule="exact"/>
              <w:ind w:firstLine="420" w:firstLineChars="200"/>
              <w:rPr>
                <w:rFonts w:ascii="仿宋_GB2312" w:hAnsi="仿宋" w:eastAsia="仿宋_GB2312"/>
                <w:color w:val="000000"/>
                <w:szCs w:val="21"/>
              </w:rPr>
            </w:pPr>
            <w:r>
              <w:rPr>
                <w:rFonts w:hint="eastAsia" w:ascii="仿宋_GB2312" w:hAnsi="仿宋" w:eastAsia="仿宋_GB2312"/>
                <w:color w:val="000000"/>
                <w:szCs w:val="21"/>
              </w:rPr>
              <w:t>同一项目多次获奖，以最高级别计分。</w:t>
            </w:r>
          </w:p>
          <w:p>
            <w:pPr>
              <w:adjustRightInd w:val="0"/>
              <w:snapToGrid w:val="0"/>
              <w:ind w:firstLine="420"/>
              <w:rPr>
                <w:rFonts w:ascii="仿宋_GB2312" w:hAnsi="仿宋" w:eastAsia="仿宋_GB2312"/>
                <w:color w:val="000000"/>
                <w:szCs w:val="21"/>
              </w:rPr>
            </w:pPr>
            <w:r>
              <w:rPr>
                <w:rFonts w:hint="eastAsia" w:ascii="仿宋_GB2312" w:hAnsi="仿宋" w:eastAsia="仿宋_GB2312"/>
                <w:color w:val="000000"/>
                <w:szCs w:val="21"/>
              </w:rPr>
              <w:t>以统计各方面得分进行排名，名列第1-4名的学院计100分，列第5-8名的学院计90分，列第9-12名的学院计80分，列第13及以后的学院计70分。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  <w:jc w:val="center"/>
        </w:trPr>
        <w:tc>
          <w:tcPr>
            <w:tcW w:w="719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仿宋_GB2312" w:eastAsia="仿宋_GB2312" w:cs="仿宋_GB2312"/>
                <w:b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  <w:t>现场汇报考核</w:t>
            </w:r>
          </w:p>
        </w:tc>
        <w:tc>
          <w:tcPr>
            <w:tcW w:w="785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仿宋_GB2312" w:eastAsia="仿宋_GB2312" w:cs="仿宋_GB2312"/>
                <w:b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  <w:t>30%</w:t>
            </w:r>
          </w:p>
        </w:tc>
        <w:tc>
          <w:tcPr>
            <w:tcW w:w="786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仿宋_GB2312" w:eastAsia="仿宋_GB2312" w:cs="仿宋_GB2312"/>
                <w:b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  <w:t>/</w:t>
            </w:r>
          </w:p>
        </w:tc>
        <w:tc>
          <w:tcPr>
            <w:tcW w:w="820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仿宋_GB2312" w:eastAsia="仿宋_GB2312" w:cs="仿宋_GB2312"/>
                <w:b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  <w:t>/</w:t>
            </w:r>
          </w:p>
        </w:tc>
        <w:tc>
          <w:tcPr>
            <w:tcW w:w="5594" w:type="dxa"/>
            <w:vAlign w:val="center"/>
          </w:tcPr>
          <w:p>
            <w:pPr>
              <w:adjustRightInd w:val="0"/>
              <w:snapToGrid w:val="0"/>
              <w:ind w:firstLine="420" w:firstLineChars="200"/>
              <w:rPr>
                <w:rFonts w:hint="eastAsia" w:ascii="仿宋_GB2312" w:hAnsi="仿宋_GB2312" w:eastAsia="仿宋_GB2312" w:cs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由各学院团委书记做年度工作汇报，校学生工作委员会委员和团员青年代表组成评审团予以现场评价。其中，校学工委和校团委书记班子评分占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  <w:lang w:val="en-US" w:eastAsia="zh-CN"/>
              </w:rPr>
              <w:t>70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%，团委书记互评分占30%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  <w:jc w:val="center"/>
        </w:trPr>
        <w:tc>
          <w:tcPr>
            <w:tcW w:w="719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仿宋_GB2312" w:eastAsia="仿宋_GB2312" w:cs="仿宋_GB2312"/>
                <w:b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  <w:t>共青团突出贡献奖</w:t>
            </w:r>
          </w:p>
        </w:tc>
        <w:tc>
          <w:tcPr>
            <w:tcW w:w="785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  <w:tc>
          <w:tcPr>
            <w:tcW w:w="786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  <w:tc>
          <w:tcPr>
            <w:tcW w:w="820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  <w:tc>
          <w:tcPr>
            <w:tcW w:w="5594" w:type="dxa"/>
            <w:vAlign w:val="center"/>
          </w:tcPr>
          <w:p>
            <w:pPr>
              <w:adjustRightInd w:val="0"/>
              <w:snapToGrid w:val="0"/>
              <w:ind w:firstLine="420" w:firstLineChars="200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围绕学校和团省委重点任务，取得突出成绩的学院团委，可自行申报。由校团委根据申报材料审核的形式予以考评。</w:t>
            </w:r>
          </w:p>
        </w:tc>
      </w:tr>
      <w:bookmarkEnd w:id="0"/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F051BA"/>
    <w:rsid w:val="1EF051BA"/>
    <w:rsid w:val="22645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qFormat/>
    <w:uiPriority w:val="0"/>
    <w:rPr>
      <w:color w:val="0000FF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2021-03-05T05:49:00Z</dcterms:created>
  <dc:creator>WPS_1508296402</dc:creator>
  <cp:lastModifiedBy>WPS_1508296402</cp:lastModifiedBy>
  <dcterms:modified xsi:type="dcterms:W3CDTF">2021-03-05T05:52:37Z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